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BA13" w14:textId="77777777" w:rsidR="0010112E" w:rsidRPr="00E85C79" w:rsidRDefault="0010112E" w:rsidP="0010112E">
      <w:pPr>
        <w:rPr>
          <w:rFonts w:ascii="Helvetica" w:hAnsi="Helvetica"/>
          <w:sz w:val="20"/>
          <w:szCs w:val="20"/>
        </w:rPr>
      </w:pPr>
    </w:p>
    <w:p w14:paraId="17023F3A" w14:textId="77777777" w:rsidR="0010112E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A98F0D6" w14:textId="77777777" w:rsidR="0010112E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EfTEN Real Estate Fund AS</w:t>
      </w:r>
    </w:p>
    <w:p w14:paraId="7C81C400" w14:textId="50550347" w:rsidR="0010112E" w:rsidRDefault="00152CE1" w:rsidP="0010112E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16.10</w:t>
      </w:r>
      <w:r w:rsidR="0010112E">
        <w:rPr>
          <w:rFonts w:ascii="Helvetica" w:hAnsi="Helvetica"/>
          <w:b/>
          <w:bCs/>
          <w:sz w:val="20"/>
          <w:szCs w:val="20"/>
        </w:rPr>
        <w:t>.2024</w:t>
      </w:r>
      <w:r w:rsidR="0010112E" w:rsidRPr="0010112E">
        <w:rPr>
          <w:rFonts w:ascii="Helvetica" w:hAnsi="Helvetica"/>
          <w:b/>
          <w:bCs/>
          <w:sz w:val="20"/>
          <w:szCs w:val="20"/>
        </w:rPr>
        <w:t xml:space="preserve"> aktsionäride </w:t>
      </w:r>
      <w:r>
        <w:rPr>
          <w:rFonts w:ascii="Helvetica" w:hAnsi="Helvetica"/>
          <w:b/>
          <w:bCs/>
          <w:sz w:val="20"/>
          <w:szCs w:val="20"/>
        </w:rPr>
        <w:t>era</w:t>
      </w:r>
      <w:r w:rsidR="0010112E" w:rsidRPr="0010112E">
        <w:rPr>
          <w:rFonts w:ascii="Helvetica" w:hAnsi="Helvetica"/>
          <w:b/>
          <w:bCs/>
          <w:sz w:val="20"/>
          <w:szCs w:val="20"/>
        </w:rPr>
        <w:t>korralise üldkoosoleku päevakorrapunkti</w:t>
      </w:r>
      <w:r w:rsidR="0028541A">
        <w:rPr>
          <w:rFonts w:ascii="Helvetica" w:hAnsi="Helvetica"/>
          <w:b/>
          <w:bCs/>
          <w:sz w:val="20"/>
          <w:szCs w:val="20"/>
        </w:rPr>
        <w:t>de</w:t>
      </w:r>
      <w:r w:rsidR="0010112E" w:rsidRPr="0010112E">
        <w:rPr>
          <w:rFonts w:ascii="Helvetica" w:hAnsi="Helvetica"/>
          <w:b/>
          <w:bCs/>
          <w:sz w:val="20"/>
          <w:szCs w:val="20"/>
        </w:rPr>
        <w:t xml:space="preserve"> kohta antud</w:t>
      </w:r>
    </w:p>
    <w:p w14:paraId="7334308B" w14:textId="785C003B" w:rsidR="0010112E" w:rsidRPr="00E85C79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  <w:r w:rsidRPr="00E85C79">
        <w:rPr>
          <w:rFonts w:ascii="Helvetica" w:hAnsi="Helvetica"/>
          <w:b/>
          <w:bCs/>
          <w:sz w:val="20"/>
          <w:szCs w:val="20"/>
        </w:rPr>
        <w:t>ELEKTROONILINE HÄÄL</w:t>
      </w:r>
    </w:p>
    <w:p w14:paraId="34374513" w14:textId="77777777" w:rsidR="0010112E" w:rsidRDefault="0010112E" w:rsidP="0010112E">
      <w:pPr>
        <w:rPr>
          <w:rFonts w:ascii="Helvetica" w:hAnsi="Helvetica"/>
        </w:rPr>
      </w:pPr>
    </w:p>
    <w:p w14:paraId="4761B80D" w14:textId="77777777" w:rsidR="0010112E" w:rsidRPr="00E85C79" w:rsidRDefault="0010112E" w:rsidP="0010112E">
      <w:pPr>
        <w:rPr>
          <w:rFonts w:ascii="Helvetica" w:hAnsi="Helvetica"/>
        </w:rPr>
      </w:pPr>
    </w:p>
    <w:p w14:paraId="0ADEB5E0" w14:textId="77777777" w:rsidR="0010112E" w:rsidRPr="00E85C79" w:rsidRDefault="0010112E" w:rsidP="0010112E">
      <w:pPr>
        <w:rPr>
          <w:rFonts w:ascii="Helvetica" w:hAnsi="Helvetica" w:cs="Open Sans"/>
          <w:b/>
          <w:sz w:val="20"/>
          <w:szCs w:val="20"/>
        </w:rPr>
      </w:pPr>
      <w:r w:rsidRPr="00E85C79">
        <w:rPr>
          <w:rFonts w:ascii="Helvetica" w:hAnsi="Helvetica" w:cs="Open Sans"/>
          <w:b/>
          <w:sz w:val="20"/>
          <w:szCs w:val="20"/>
        </w:rPr>
        <w:t>Aktsionäri andmed: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4167"/>
      </w:tblGrid>
      <w:tr w:rsidR="0010112E" w:rsidRPr="00622903" w14:paraId="6970EE7F" w14:textId="77777777" w:rsidTr="003F79EA">
        <w:tc>
          <w:tcPr>
            <w:tcW w:w="4219" w:type="dxa"/>
            <w:shd w:val="clear" w:color="auto" w:fill="auto"/>
          </w:tcPr>
          <w:p w14:paraId="1CF3FC1D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>Aktsionäri nimi</w:t>
            </w:r>
          </w:p>
          <w:p w14:paraId="571B9EAE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  <w:tc>
          <w:tcPr>
            <w:tcW w:w="4303" w:type="dxa"/>
            <w:shd w:val="clear" w:color="auto" w:fill="auto"/>
          </w:tcPr>
          <w:p w14:paraId="59A35140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40CD1E5C" w14:textId="77777777" w:rsidTr="003F79EA">
        <w:tc>
          <w:tcPr>
            <w:tcW w:w="4219" w:type="dxa"/>
            <w:shd w:val="clear" w:color="auto" w:fill="auto"/>
          </w:tcPr>
          <w:p w14:paraId="2C7A6DB5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>Aktsionäri isikukood või registrikood</w:t>
            </w:r>
          </w:p>
          <w:p w14:paraId="6FCF7DFC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16"/>
                <w:szCs w:val="16"/>
              </w:rPr>
            </w:pP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(</w:t>
            </w: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Isikukoodi puudumisel sünniaeg</w:t>
            </w: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)</w:t>
            </w:r>
          </w:p>
        </w:tc>
        <w:tc>
          <w:tcPr>
            <w:tcW w:w="4303" w:type="dxa"/>
            <w:shd w:val="clear" w:color="auto" w:fill="auto"/>
          </w:tcPr>
          <w:p w14:paraId="06212676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568245FB" w14:textId="77777777" w:rsidTr="003F79EA">
        <w:tc>
          <w:tcPr>
            <w:tcW w:w="4219" w:type="dxa"/>
            <w:shd w:val="clear" w:color="auto" w:fill="auto"/>
          </w:tcPr>
          <w:p w14:paraId="181290AE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>Aktsionäri esindaja nimi</w:t>
            </w:r>
          </w:p>
          <w:p w14:paraId="1B453436" w14:textId="77777777" w:rsidR="0010112E" w:rsidRPr="00622903" w:rsidRDefault="0010112E" w:rsidP="003F79EA">
            <w:pPr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</w:pP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(Kohustuslik täita kõigil juriidilistel isikutel ning füüsilistel isikutel üksnes volitamise puhul)</w:t>
            </w:r>
          </w:p>
        </w:tc>
        <w:tc>
          <w:tcPr>
            <w:tcW w:w="4303" w:type="dxa"/>
            <w:shd w:val="clear" w:color="auto" w:fill="auto"/>
          </w:tcPr>
          <w:p w14:paraId="48F0BCA8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61FE2F14" w14:textId="77777777" w:rsidTr="003F79EA">
        <w:trPr>
          <w:trHeight w:val="507"/>
        </w:trPr>
        <w:tc>
          <w:tcPr>
            <w:tcW w:w="4219" w:type="dxa"/>
            <w:shd w:val="clear" w:color="auto" w:fill="auto"/>
          </w:tcPr>
          <w:p w14:paraId="5EC39CED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 xml:space="preserve">Aktsionäri esindaja isikukood </w:t>
            </w: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(</w:t>
            </w: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Isikukoodi puudumisel sünniaeg</w:t>
            </w: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)</w:t>
            </w:r>
          </w:p>
        </w:tc>
        <w:tc>
          <w:tcPr>
            <w:tcW w:w="4303" w:type="dxa"/>
            <w:shd w:val="clear" w:color="auto" w:fill="auto"/>
          </w:tcPr>
          <w:p w14:paraId="11681BC6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622B9C00" w14:textId="77777777" w:rsidTr="003F79EA">
        <w:trPr>
          <w:trHeight w:val="493"/>
        </w:trPr>
        <w:tc>
          <w:tcPr>
            <w:tcW w:w="4219" w:type="dxa"/>
            <w:shd w:val="clear" w:color="auto" w:fill="auto"/>
          </w:tcPr>
          <w:p w14:paraId="6F60FC49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 xml:space="preserve">Esindusõiguse alus </w:t>
            </w:r>
          </w:p>
          <w:p w14:paraId="76BB7D8B" w14:textId="77777777" w:rsidR="0010112E" w:rsidRPr="00622903" w:rsidRDefault="0010112E" w:rsidP="003F79EA">
            <w:pPr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</w:pP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(seadus, volikiri)</w:t>
            </w:r>
          </w:p>
        </w:tc>
        <w:tc>
          <w:tcPr>
            <w:tcW w:w="4303" w:type="dxa"/>
            <w:shd w:val="clear" w:color="auto" w:fill="auto"/>
          </w:tcPr>
          <w:p w14:paraId="11CC3576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</w:tbl>
    <w:p w14:paraId="3E0C8551" w14:textId="77777777" w:rsidR="0010112E" w:rsidRDefault="0010112E" w:rsidP="0010112E">
      <w:pPr>
        <w:pStyle w:val="TLSlik"/>
        <w:rPr>
          <w:rFonts w:ascii="Helvetica" w:hAnsi="Helvetica"/>
          <w:b/>
          <w:bCs/>
          <w:sz w:val="20"/>
          <w:szCs w:val="20"/>
        </w:rPr>
      </w:pPr>
    </w:p>
    <w:p w14:paraId="01633BB0" w14:textId="2CE7D9B3" w:rsidR="0010112E" w:rsidRDefault="0010112E" w:rsidP="0010112E">
      <w:pPr>
        <w:pStyle w:val="TLSlik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EfTEN Real Estate Fund AS-i </w:t>
      </w:r>
      <w:r w:rsidR="00152CE1">
        <w:rPr>
          <w:rFonts w:ascii="Helvetica" w:hAnsi="Helvetica"/>
          <w:b/>
          <w:bCs/>
          <w:sz w:val="20"/>
          <w:szCs w:val="20"/>
        </w:rPr>
        <w:t>16.10</w:t>
      </w:r>
      <w:r>
        <w:rPr>
          <w:rFonts w:ascii="Helvetica" w:hAnsi="Helvetica"/>
          <w:b/>
          <w:bCs/>
          <w:sz w:val="20"/>
          <w:szCs w:val="20"/>
        </w:rPr>
        <w:t>.2024</w:t>
      </w:r>
      <w:r w:rsidRPr="00E74D90">
        <w:rPr>
          <w:rFonts w:ascii="Helvetica" w:hAnsi="Helvetica"/>
          <w:b/>
          <w:bCs/>
          <w:sz w:val="20"/>
          <w:szCs w:val="20"/>
        </w:rPr>
        <w:t xml:space="preserve"> aktsionäride </w:t>
      </w:r>
      <w:r w:rsidR="00152CE1">
        <w:rPr>
          <w:rFonts w:ascii="Helvetica" w:hAnsi="Helvetica"/>
          <w:b/>
          <w:bCs/>
          <w:sz w:val="20"/>
          <w:szCs w:val="20"/>
        </w:rPr>
        <w:t>era</w:t>
      </w:r>
      <w:r w:rsidRPr="00E74D90">
        <w:rPr>
          <w:rFonts w:ascii="Helvetica" w:hAnsi="Helvetica"/>
          <w:b/>
          <w:bCs/>
          <w:sz w:val="20"/>
          <w:szCs w:val="20"/>
        </w:rPr>
        <w:t>korralise üldkoosoleku päevakorrapunkti</w:t>
      </w:r>
      <w:r w:rsidR="00435F42">
        <w:rPr>
          <w:rFonts w:ascii="Helvetica" w:hAnsi="Helvetica"/>
          <w:b/>
          <w:bCs/>
          <w:sz w:val="20"/>
          <w:szCs w:val="20"/>
        </w:rPr>
        <w:t>de</w:t>
      </w:r>
      <w:r>
        <w:rPr>
          <w:rFonts w:ascii="Helvetica" w:hAnsi="Helvetica"/>
          <w:b/>
          <w:bCs/>
          <w:sz w:val="20"/>
          <w:szCs w:val="20"/>
        </w:rPr>
        <w:t xml:space="preserve"> kohta </w:t>
      </w:r>
      <w:r w:rsidRPr="00E74D90">
        <w:rPr>
          <w:rFonts w:ascii="Helvetica" w:hAnsi="Helvetica"/>
          <w:b/>
          <w:bCs/>
          <w:sz w:val="20"/>
          <w:szCs w:val="20"/>
        </w:rPr>
        <w:t xml:space="preserve">koostatud otsuste eelnõude osas hääletan alljärgnevalt: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985"/>
      </w:tblGrid>
      <w:tr w:rsidR="0010112E" w:rsidRPr="004507D7" w14:paraId="4F01D26E" w14:textId="77777777" w:rsidTr="003F79EA">
        <w:trPr>
          <w:trHeight w:val="274"/>
        </w:trPr>
        <w:tc>
          <w:tcPr>
            <w:tcW w:w="6487" w:type="dxa"/>
            <w:shd w:val="clear" w:color="auto" w:fill="auto"/>
          </w:tcPr>
          <w:p w14:paraId="56F57872" w14:textId="77777777" w:rsidR="0010112E" w:rsidRPr="004507D7" w:rsidRDefault="0010112E" w:rsidP="003F79EA">
            <w:pPr>
              <w:rPr>
                <w:rFonts w:ascii="Helvetica" w:eastAsia="Calibri" w:hAnsi="Helvetica" w:cs="Arial"/>
                <w:sz w:val="20"/>
                <w:szCs w:val="20"/>
              </w:rPr>
            </w:pPr>
            <w:r w:rsidRPr="004507D7">
              <w:rPr>
                <w:rFonts w:ascii="Helvetica" w:eastAsia="Calibri" w:hAnsi="Helvetica" w:cs="Arial"/>
                <w:b/>
                <w:sz w:val="20"/>
                <w:szCs w:val="20"/>
              </w:rPr>
              <w:t>Päevakorrapunkt hääletamisel koos otsuse eelnõuga</w:t>
            </w:r>
            <w:r>
              <w:rPr>
                <w:rFonts w:ascii="Helvetica" w:eastAsia="Calibri" w:hAnsi="Helvetica" w:cs="Arial"/>
                <w:b/>
                <w:sz w:val="20"/>
                <w:szCs w:val="20"/>
              </w:rPr>
              <w:t>*</w:t>
            </w:r>
            <w:r w:rsidRPr="004507D7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shd w:val="clear" w:color="auto" w:fill="auto"/>
          </w:tcPr>
          <w:p w14:paraId="221A9F62" w14:textId="77777777" w:rsidR="0010112E" w:rsidRPr="004507D7" w:rsidRDefault="0010112E" w:rsidP="003F79EA">
            <w:pPr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4507D7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Hääl </w:t>
            </w:r>
          </w:p>
          <w:p w14:paraId="72613C1A" w14:textId="77777777" w:rsidR="0010112E" w:rsidRPr="00DB0477" w:rsidRDefault="0010112E" w:rsidP="003F79EA">
            <w:pPr>
              <w:rPr>
                <w:rFonts w:ascii="Helvetica" w:eastAsia="Calibri" w:hAnsi="Helvetica" w:cs="Arial"/>
                <w:i/>
                <w:iCs/>
                <w:color w:val="FF0000"/>
                <w:sz w:val="20"/>
                <w:szCs w:val="20"/>
              </w:rPr>
            </w:pPr>
            <w:r w:rsidRPr="00DB0477">
              <w:rPr>
                <w:rFonts w:ascii="Helvetica" w:eastAsia="Calibri" w:hAnsi="Helvetica" w:cs="Arial"/>
                <w:i/>
                <w:iCs/>
                <w:color w:val="FF0000"/>
                <w:sz w:val="20"/>
                <w:szCs w:val="20"/>
              </w:rPr>
              <w:t>Märkida iga päevakorrapunkti juurde, kas: Poolt / Vastu / Erapooletu</w:t>
            </w:r>
          </w:p>
          <w:p w14:paraId="174BB8EB" w14:textId="77777777" w:rsidR="0010112E" w:rsidRPr="004507D7" w:rsidRDefault="0010112E" w:rsidP="003F79EA">
            <w:pPr>
              <w:rPr>
                <w:rFonts w:ascii="Helvetica" w:eastAsia="Calibri" w:hAnsi="Helvetica" w:cs="Arial"/>
                <w:b/>
                <w:sz w:val="20"/>
                <w:szCs w:val="20"/>
              </w:rPr>
            </w:pPr>
          </w:p>
        </w:tc>
      </w:tr>
      <w:tr w:rsidR="0010112E" w:rsidRPr="004507D7" w14:paraId="5878AD9C" w14:textId="77777777" w:rsidTr="003F79EA">
        <w:trPr>
          <w:trHeight w:val="274"/>
        </w:trPr>
        <w:tc>
          <w:tcPr>
            <w:tcW w:w="6487" w:type="dxa"/>
            <w:shd w:val="clear" w:color="auto" w:fill="auto"/>
          </w:tcPr>
          <w:p w14:paraId="5CFB084F" w14:textId="77777777" w:rsidR="0011776D" w:rsidRDefault="0010112E" w:rsidP="00435F42">
            <w:pPr>
              <w:pStyle w:val="NoSpacing"/>
              <w:jc w:val="both"/>
              <w:rPr>
                <w:rFonts w:ascii="Helvetica" w:hAnsi="Helvetica" w:cs="Arial-BoldMT"/>
                <w:b/>
                <w:sz w:val="20"/>
                <w:szCs w:val="20"/>
              </w:rPr>
            </w:pPr>
            <w:r>
              <w:rPr>
                <w:rFonts w:ascii="Helvetica" w:hAnsi="Helvetica" w:cs="Arial-BoldMT"/>
                <w:b/>
                <w:sz w:val="20"/>
                <w:szCs w:val="20"/>
              </w:rPr>
              <w:t xml:space="preserve">Päevakorrapunkt 2: </w:t>
            </w:r>
            <w:r w:rsidR="0011776D" w:rsidRPr="00DF23EF">
              <w:rPr>
                <w:rFonts w:ascii="Helvetica" w:hAnsi="Helvetica" w:cs="Arial-BoldMT"/>
                <w:b/>
                <w:sz w:val="20"/>
                <w:szCs w:val="20"/>
              </w:rPr>
              <w:t xml:space="preserve">Aktsiakapitali suurendamine ja uute aktsiate noteerimine </w:t>
            </w:r>
            <w:proofErr w:type="spellStart"/>
            <w:r w:rsidR="0011776D" w:rsidRPr="00DF23EF">
              <w:rPr>
                <w:rFonts w:ascii="Helvetica" w:hAnsi="Helvetica" w:cs="Arial-BoldMT"/>
                <w:b/>
                <w:sz w:val="20"/>
                <w:szCs w:val="20"/>
              </w:rPr>
              <w:t>Nasdaq</w:t>
            </w:r>
            <w:proofErr w:type="spellEnd"/>
            <w:r w:rsidR="0011776D" w:rsidRPr="00DF23EF">
              <w:rPr>
                <w:rFonts w:ascii="Helvetica" w:hAnsi="Helvetica" w:cs="Arial-BoldMT"/>
                <w:b/>
                <w:sz w:val="20"/>
                <w:szCs w:val="20"/>
              </w:rPr>
              <w:t xml:space="preserve"> Tallinn börsi põhinimekirjas.</w:t>
            </w:r>
            <w:r w:rsidR="0011776D">
              <w:rPr>
                <w:rFonts w:ascii="Helvetica" w:hAnsi="Helvetica" w:cs="Arial-BoldMT"/>
                <w:b/>
                <w:sz w:val="20"/>
                <w:szCs w:val="20"/>
              </w:rPr>
              <w:t xml:space="preserve"> </w:t>
            </w:r>
          </w:p>
          <w:p w14:paraId="319453A7" w14:textId="77777777" w:rsidR="00AD19F6" w:rsidRDefault="0010112E" w:rsidP="00AD19F6">
            <w:pPr>
              <w:pStyle w:val="NoSpacing"/>
              <w:jc w:val="both"/>
              <w:rPr>
                <w:rFonts w:ascii="Helvetica" w:hAnsi="Helvetica" w:cs="ArialMT"/>
                <w:sz w:val="20"/>
                <w:szCs w:val="20"/>
              </w:rPr>
            </w:pPr>
            <w:r w:rsidRPr="004507D7">
              <w:rPr>
                <w:rFonts w:ascii="Helvetica" w:hAnsi="Helvetica"/>
                <w:sz w:val="20"/>
                <w:szCs w:val="20"/>
              </w:rPr>
              <w:t xml:space="preserve">OTSUSE EELNÕU: </w:t>
            </w:r>
            <w:r w:rsidR="00AD19F6">
              <w:rPr>
                <w:rFonts w:ascii="Helvetica" w:hAnsi="Helvetica" w:cs="Arial"/>
                <w:sz w:val="20"/>
                <w:szCs w:val="20"/>
              </w:rPr>
              <w:t>2.1.</w:t>
            </w:r>
            <w:r w:rsidR="00AD19F6">
              <w:rPr>
                <w:rFonts w:ascii="Helvetica" w:hAnsi="Helvetica" w:cs="ArialMT"/>
                <w:sz w:val="20"/>
                <w:szCs w:val="20"/>
              </w:rPr>
              <w:t>A</w:t>
            </w:r>
            <w:r w:rsidR="00AD19F6" w:rsidRPr="003A3B6A">
              <w:rPr>
                <w:rFonts w:ascii="Helvetica" w:hAnsi="Helvetica" w:cs="ArialMT"/>
                <w:sz w:val="20"/>
                <w:szCs w:val="20"/>
              </w:rPr>
              <w:t>nda</w:t>
            </w:r>
            <w:r w:rsidR="00AD19F6">
              <w:rPr>
                <w:rFonts w:ascii="Helvetica" w:hAnsi="Helvetica" w:cs="ArialMT"/>
                <w:sz w:val="20"/>
                <w:szCs w:val="20"/>
              </w:rPr>
              <w:t xml:space="preserve"> kuueks kuuks alates üldkoosoleku otsuse vastuvõtmisest </w:t>
            </w:r>
            <w:r w:rsidR="00AD19F6" w:rsidRPr="003A3B6A">
              <w:rPr>
                <w:rFonts w:ascii="Helvetica" w:hAnsi="Helvetica" w:cs="ArialMT"/>
                <w:sz w:val="20"/>
                <w:szCs w:val="20"/>
              </w:rPr>
              <w:t>fondi nõukogu pädevusse fondi aktsiakapitali suurendamise otsustamine</w:t>
            </w:r>
            <w:r w:rsidR="00AD19F6">
              <w:rPr>
                <w:rFonts w:ascii="Helvetica" w:hAnsi="Helvetica" w:cs="ArialMT"/>
                <w:sz w:val="20"/>
                <w:szCs w:val="20"/>
              </w:rPr>
              <w:t xml:space="preserve"> arvestades seejuures, et täiendavalt kaasatava kapitali rahaline maht ei ületaks 30 000 000 eurot ja olemasolevatel aktsionäridel säilib märkimise eesõigus. </w:t>
            </w:r>
          </w:p>
          <w:p w14:paraId="612DC782" w14:textId="30FF78D7" w:rsidR="0010112E" w:rsidRPr="00AD19F6" w:rsidRDefault="00AD19F6" w:rsidP="00435F42">
            <w:pPr>
              <w:pStyle w:val="NoSpacing"/>
              <w:jc w:val="both"/>
              <w:rPr>
                <w:rFonts w:ascii="Helvetica" w:hAnsi="Helvetica" w:cs="ArialMT"/>
                <w:sz w:val="20"/>
                <w:szCs w:val="20"/>
              </w:rPr>
            </w:pPr>
            <w:r>
              <w:rPr>
                <w:rFonts w:ascii="Helvetica" w:hAnsi="Helvetica" w:cs="ArialMT"/>
                <w:sz w:val="20"/>
                <w:szCs w:val="20"/>
              </w:rPr>
              <w:t xml:space="preserve">2.2. </w:t>
            </w:r>
            <w:r w:rsidRPr="00765B46">
              <w:rPr>
                <w:rFonts w:ascii="Helvetica" w:hAnsi="Helvetica" w:cs="ArialMT"/>
                <w:sz w:val="20"/>
                <w:szCs w:val="20"/>
              </w:rPr>
              <w:t xml:space="preserve">Esitada taotlus kõigi uute emiteeritavate fondi aktsiate noteerimiseks ja kauplemisele võtmiseks </w:t>
            </w:r>
            <w:proofErr w:type="spellStart"/>
            <w:r w:rsidRPr="00765B46">
              <w:rPr>
                <w:rFonts w:ascii="Helvetica" w:hAnsi="Helvetica" w:cs="ArialMT"/>
                <w:sz w:val="20"/>
                <w:szCs w:val="20"/>
              </w:rPr>
              <w:t>Nasdaq</w:t>
            </w:r>
            <w:proofErr w:type="spellEnd"/>
            <w:r w:rsidRPr="00765B46">
              <w:rPr>
                <w:rFonts w:ascii="Helvetica" w:hAnsi="Helvetica" w:cs="ArialMT"/>
                <w:sz w:val="20"/>
                <w:szCs w:val="20"/>
              </w:rPr>
              <w:t xml:space="preserve"> Tallinna börsi põhinimekirjas ning anda fondi nõukogule ja juhatusele volitused kõigi selleks vajalike toimingute tegemiseks ja lepingute sõlmimiseks</w:t>
            </w:r>
            <w:r>
              <w:rPr>
                <w:rFonts w:ascii="Helvetica" w:hAnsi="Helvetica" w:cs="ArialMT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4BBC04" w14:textId="77777777" w:rsidR="0010112E" w:rsidRPr="004507D7" w:rsidRDefault="0010112E" w:rsidP="003F79EA">
            <w:pPr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</w:tr>
    </w:tbl>
    <w:p w14:paraId="17C6CB61" w14:textId="77777777" w:rsidR="0010112E" w:rsidRDefault="0010112E" w:rsidP="0010112E">
      <w:pPr>
        <w:rPr>
          <w:rFonts w:ascii="Helvetica" w:hAnsi="Helvetica"/>
          <w:sz w:val="20"/>
          <w:szCs w:val="20"/>
        </w:rPr>
      </w:pPr>
    </w:p>
    <w:p w14:paraId="41285224" w14:textId="77777777" w:rsidR="00AD19F6" w:rsidRDefault="00AD19F6" w:rsidP="0010112E">
      <w:pPr>
        <w:rPr>
          <w:rFonts w:ascii="Helvetica" w:hAnsi="Helvetica"/>
          <w:sz w:val="20"/>
          <w:szCs w:val="20"/>
        </w:rPr>
      </w:pPr>
    </w:p>
    <w:p w14:paraId="40750E4C" w14:textId="77777777" w:rsidR="0010112E" w:rsidRDefault="0010112E" w:rsidP="0010112E">
      <w:pPr>
        <w:rPr>
          <w:rFonts w:ascii="Helvetica" w:hAnsi="Helvetica"/>
          <w:sz w:val="20"/>
          <w:szCs w:val="20"/>
        </w:rPr>
      </w:pPr>
    </w:p>
    <w:p w14:paraId="65B24D14" w14:textId="77777777" w:rsidR="0010112E" w:rsidRDefault="0010112E" w:rsidP="0010112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Aktsionär / Aktsionäri esindaja: _________________</w:t>
      </w:r>
    </w:p>
    <w:p w14:paraId="0443DF72" w14:textId="77777777" w:rsidR="0010112E" w:rsidRPr="00E74D90" w:rsidRDefault="0010112E" w:rsidP="0010112E">
      <w:pPr>
        <w:rPr>
          <w:rFonts w:ascii="Helvetica" w:hAnsi="Helvetica"/>
          <w:i/>
          <w:iCs/>
          <w:sz w:val="16"/>
          <w:szCs w:val="16"/>
        </w:rPr>
      </w:pPr>
      <w:r>
        <w:rPr>
          <w:rFonts w:ascii="Helvetica" w:hAnsi="Helvetica"/>
          <w:sz w:val="20"/>
          <w:szCs w:val="20"/>
        </w:rPr>
        <w:t xml:space="preserve">                                 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E74D90">
        <w:rPr>
          <w:rFonts w:ascii="Helvetica" w:hAnsi="Helvetica"/>
          <w:i/>
          <w:iCs/>
          <w:sz w:val="16"/>
          <w:szCs w:val="16"/>
        </w:rPr>
        <w:t>(allkirjastatud digitaalselt)</w:t>
      </w:r>
    </w:p>
    <w:p w14:paraId="3ADFD076" w14:textId="77777777" w:rsidR="0010112E" w:rsidRPr="00E85C79" w:rsidRDefault="0010112E" w:rsidP="0010112E">
      <w:pPr>
        <w:jc w:val="both"/>
        <w:rPr>
          <w:rFonts w:ascii="Helvetica" w:hAnsi="Helvetica"/>
          <w:sz w:val="20"/>
          <w:szCs w:val="20"/>
        </w:rPr>
      </w:pPr>
    </w:p>
    <w:p w14:paraId="10EE7564" w14:textId="77777777" w:rsidR="00DF4705" w:rsidRDefault="00DF4705"/>
    <w:sectPr w:rsidR="00DF4705" w:rsidSect="0010112E">
      <w:headerReference w:type="default" r:id="rId6"/>
      <w:footerReference w:type="first" r:id="rId7"/>
      <w:pgSz w:w="11906" w:h="16838"/>
      <w:pgMar w:top="1384" w:right="1800" w:bottom="1115" w:left="1800" w:header="708" w:footer="10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6121" w14:textId="77777777" w:rsidR="0028541A" w:rsidRDefault="0028541A">
      <w:r>
        <w:separator/>
      </w:r>
    </w:p>
  </w:endnote>
  <w:endnote w:type="continuationSeparator" w:id="0">
    <w:p w14:paraId="64A145F1" w14:textId="77777777" w:rsidR="0028541A" w:rsidRDefault="002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pitch w:val="default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736C" w14:textId="77777777" w:rsidR="0010112E" w:rsidRDefault="0010112E">
    <w:pPr>
      <w:pStyle w:val="Footer"/>
    </w:pPr>
    <w:r>
      <w:rPr>
        <w:rFonts w:ascii="Helvetica" w:eastAsia="Calibri" w:hAnsi="Helvetica" w:cs="Arial"/>
        <w:bCs/>
        <w:sz w:val="16"/>
        <w:szCs w:val="16"/>
      </w:rPr>
      <w:t>*</w:t>
    </w:r>
    <w:r w:rsidRPr="00421ABA">
      <w:rPr>
        <w:rFonts w:ascii="Helvetica" w:eastAsia="Calibri" w:hAnsi="Helvetica" w:cs="Arial"/>
        <w:bCs/>
        <w:i/>
        <w:iCs/>
        <w:sz w:val="16"/>
        <w:szCs w:val="16"/>
      </w:rPr>
      <w:t>Päevakorrapunkt 1 on informatiivne ja</w:t>
    </w:r>
    <w:r>
      <w:rPr>
        <w:rFonts w:ascii="Helvetica" w:eastAsia="Calibri" w:hAnsi="Helvetica" w:cs="Arial"/>
        <w:bCs/>
        <w:i/>
        <w:iCs/>
        <w:sz w:val="16"/>
        <w:szCs w:val="16"/>
      </w:rPr>
      <w:t xml:space="preserve"> selle raames</w:t>
    </w:r>
    <w:r w:rsidRPr="00421ABA">
      <w:rPr>
        <w:rFonts w:ascii="Helvetica" w:eastAsia="Calibri" w:hAnsi="Helvetica" w:cs="Arial"/>
        <w:bCs/>
        <w:i/>
        <w:iCs/>
        <w:sz w:val="16"/>
        <w:szCs w:val="16"/>
      </w:rPr>
      <w:t xml:space="preserve"> hääletamist ei toimu</w:t>
    </w:r>
    <w:r>
      <w:rPr>
        <w:rFonts w:ascii="Helvetica" w:eastAsia="Calibri" w:hAnsi="Helvetica" w:cs="Arial"/>
        <w:bCs/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55AA" w14:textId="77777777" w:rsidR="0028541A" w:rsidRDefault="0028541A">
      <w:r>
        <w:separator/>
      </w:r>
    </w:p>
  </w:footnote>
  <w:footnote w:type="continuationSeparator" w:id="0">
    <w:p w14:paraId="00E250F8" w14:textId="77777777" w:rsidR="0028541A" w:rsidRDefault="0028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139D" w14:textId="77777777" w:rsidR="0010112E" w:rsidRDefault="0010112E" w:rsidP="00E85C79">
    <w:pPr>
      <w:pStyle w:val="Header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2E"/>
    <w:rsid w:val="0010112E"/>
    <w:rsid w:val="0011776D"/>
    <w:rsid w:val="00152CE1"/>
    <w:rsid w:val="00252DEE"/>
    <w:rsid w:val="0028541A"/>
    <w:rsid w:val="00435F42"/>
    <w:rsid w:val="00AD19F6"/>
    <w:rsid w:val="00D62AB7"/>
    <w:rsid w:val="00DF4705"/>
    <w:rsid w:val="00E13700"/>
    <w:rsid w:val="00F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8E4E2B"/>
  <w15:chartTrackingRefBased/>
  <w15:docId w15:val="{B94EDFEC-684B-C54A-B435-B5342341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2E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01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1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12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12E"/>
    <w:pPr>
      <w:ind w:left="720"/>
      <w:contextualSpacing/>
    </w:pPr>
    <w:rPr>
      <w:rFonts w:asciiTheme="minorHAnsi" w:eastAsiaTheme="minorHAnsi" w:hAnsiTheme="minorHAnsi" w:cstheme="minorBidi"/>
      <w:kern w:val="2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1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112E"/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paragraph" w:customStyle="1" w:styleId="TLSlik">
    <w:name w:val="TLS lõik"/>
    <w:basedOn w:val="Normal"/>
    <w:uiPriority w:val="99"/>
    <w:rsid w:val="0010112E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101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112E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Footer">
    <w:name w:val="footer"/>
    <w:basedOn w:val="Normal"/>
    <w:link w:val="FooterChar"/>
    <w:rsid w:val="00101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112E"/>
    <w:rPr>
      <w:rFonts w:ascii="Times New Roman" w:eastAsia="Times New Roman" w:hAnsi="Times New Roman" w:cs="Times New Roman"/>
      <w:kern w:val="0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Talts</dc:creator>
  <cp:keywords/>
  <dc:description/>
  <cp:lastModifiedBy>Maie Talts</cp:lastModifiedBy>
  <cp:revision>8</cp:revision>
  <dcterms:created xsi:type="dcterms:W3CDTF">2024-10-10T19:11:00Z</dcterms:created>
  <dcterms:modified xsi:type="dcterms:W3CDTF">2024-10-10T19:14:00Z</dcterms:modified>
</cp:coreProperties>
</file>