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E8E9F" w14:textId="1F63F387" w:rsidR="00962DAF" w:rsidRPr="00957597" w:rsidRDefault="00962DAF" w:rsidP="00D140CC">
      <w:pPr>
        <w:spacing w:before="270" w:after="100" w:afterAutospacing="1"/>
        <w:jc w:val="both"/>
        <w:outlineLvl w:val="2"/>
        <w:rPr>
          <w:rFonts w:ascii="Helvetica" w:hAnsi="Helvetica" w:cs="Arial"/>
          <w:b/>
          <w:bCs/>
          <w:color w:val="000000"/>
          <w:sz w:val="20"/>
          <w:szCs w:val="20"/>
          <w:lang w:eastAsia="en-GB"/>
        </w:rPr>
      </w:pPr>
      <w:r w:rsidRPr="00957597">
        <w:rPr>
          <w:rFonts w:ascii="Helvetica" w:hAnsi="Helvetica" w:cs="Arial"/>
          <w:b/>
          <w:bCs/>
          <w:color w:val="000000"/>
          <w:sz w:val="20"/>
          <w:szCs w:val="20"/>
          <w:lang w:eastAsia="en-GB"/>
        </w:rPr>
        <w:t>Notice on Public Offering, Listing and Admission to Trading of</w:t>
      </w:r>
      <w:r w:rsidR="00A150E7">
        <w:rPr>
          <w:rFonts w:ascii="Helvetica" w:hAnsi="Helvetica" w:cs="Arial"/>
          <w:b/>
          <w:bCs/>
          <w:color w:val="000000"/>
          <w:sz w:val="20"/>
          <w:szCs w:val="20"/>
          <w:lang w:eastAsia="en-GB"/>
        </w:rPr>
        <w:t xml:space="preserve"> A</w:t>
      </w:r>
      <w:r w:rsidR="00A150E7" w:rsidRPr="00A150E7">
        <w:rPr>
          <w:rFonts w:ascii="Helvetica" w:hAnsi="Helvetica" w:cs="Arial"/>
          <w:b/>
          <w:bCs/>
          <w:color w:val="000000"/>
          <w:sz w:val="20"/>
          <w:szCs w:val="20"/>
          <w:lang w:eastAsia="en-GB"/>
        </w:rPr>
        <w:t>dditional</w:t>
      </w:r>
      <w:r w:rsidR="00D20091">
        <w:rPr>
          <w:rFonts w:ascii="Helvetica" w:hAnsi="Helvetica" w:cs="Arial"/>
          <w:b/>
          <w:bCs/>
          <w:color w:val="000000"/>
          <w:sz w:val="20"/>
          <w:szCs w:val="20"/>
          <w:lang w:eastAsia="en-GB"/>
        </w:rPr>
        <w:t xml:space="preserve"> </w:t>
      </w:r>
      <w:r w:rsidRPr="00957597">
        <w:rPr>
          <w:rFonts w:ascii="Helvetica" w:hAnsi="Helvetica" w:cs="Arial"/>
          <w:b/>
          <w:bCs/>
          <w:color w:val="000000"/>
          <w:sz w:val="20"/>
          <w:szCs w:val="20"/>
          <w:lang w:eastAsia="en-GB"/>
        </w:rPr>
        <w:t xml:space="preserve">Shares of </w:t>
      </w:r>
      <w:proofErr w:type="spellStart"/>
      <w:r w:rsidRPr="00957597">
        <w:rPr>
          <w:rFonts w:ascii="Helvetica" w:hAnsi="Helvetica" w:cs="Arial"/>
          <w:b/>
          <w:bCs/>
          <w:color w:val="000000"/>
          <w:sz w:val="20"/>
          <w:szCs w:val="20"/>
          <w:lang w:eastAsia="en-GB"/>
        </w:rPr>
        <w:t>EfTEN</w:t>
      </w:r>
      <w:proofErr w:type="spellEnd"/>
      <w:r w:rsidRPr="00957597">
        <w:rPr>
          <w:rFonts w:ascii="Helvetica" w:hAnsi="Helvetica" w:cs="Arial"/>
          <w:b/>
          <w:bCs/>
          <w:color w:val="000000"/>
          <w:sz w:val="20"/>
          <w:szCs w:val="20"/>
          <w:lang w:eastAsia="en-GB"/>
        </w:rPr>
        <w:t xml:space="preserve"> Real Estate Fund III AS</w:t>
      </w:r>
    </w:p>
    <w:p w14:paraId="034498D0" w14:textId="5C6017ED" w:rsidR="00421A15" w:rsidRPr="00280EA4" w:rsidRDefault="00962DAF" w:rsidP="00D140CC">
      <w:pPr>
        <w:spacing w:before="270" w:after="100" w:afterAutospacing="1"/>
        <w:jc w:val="both"/>
        <w:outlineLvl w:val="2"/>
        <w:rPr>
          <w:rFonts w:ascii="Helvetica" w:hAnsi="Helvetica" w:cs="Helvetica"/>
          <w:bCs/>
          <w:color w:val="000000"/>
          <w:sz w:val="20"/>
          <w:szCs w:val="20"/>
          <w:lang w:eastAsia="en-GB"/>
        </w:rPr>
      </w:pPr>
      <w:r w:rsidRPr="00280EA4">
        <w:rPr>
          <w:rFonts w:ascii="Helvetica" w:hAnsi="Helvetica" w:cs="Helvetica"/>
          <w:b/>
          <w:bCs/>
          <w:color w:val="000000"/>
          <w:sz w:val="20"/>
          <w:szCs w:val="20"/>
          <w:lang w:eastAsia="en-GB"/>
        </w:rPr>
        <w:t>EfTEN Real Estate Fund III AS</w:t>
      </w:r>
      <w:r w:rsidRPr="00280EA4">
        <w:rPr>
          <w:rFonts w:ascii="Helvetica" w:hAnsi="Helvetica" w:cs="Helvetica"/>
          <w:bCs/>
          <w:color w:val="000000"/>
          <w:sz w:val="20"/>
          <w:szCs w:val="20"/>
          <w:lang w:eastAsia="en-GB"/>
        </w:rPr>
        <w:t xml:space="preserve"> (registry code 128640036, address A. Lauteri 5, 10114 Tallinn) hereby announces a public offering of shares o</w:t>
      </w:r>
      <w:r w:rsidR="00C93BEA" w:rsidRPr="00280EA4">
        <w:rPr>
          <w:rFonts w:ascii="Helvetica" w:hAnsi="Helvetica" w:cs="Helvetica"/>
          <w:bCs/>
          <w:color w:val="000000"/>
          <w:sz w:val="20"/>
          <w:szCs w:val="20"/>
          <w:lang w:eastAsia="en-GB"/>
        </w:rPr>
        <w:t>f EfTEN Real Estate Fund III AS</w:t>
      </w:r>
      <w:r w:rsidR="00421A15" w:rsidRPr="00280EA4">
        <w:rPr>
          <w:rFonts w:ascii="Helvetica" w:hAnsi="Helvetica" w:cs="Helvetica"/>
          <w:bCs/>
          <w:color w:val="000000"/>
          <w:sz w:val="20"/>
          <w:szCs w:val="20"/>
          <w:lang w:eastAsia="en-GB"/>
        </w:rPr>
        <w:t xml:space="preserve"> and informs about the contemplated listing and admission to trading of the </w:t>
      </w:r>
      <w:r w:rsidR="00A150E7" w:rsidRPr="00280EA4">
        <w:rPr>
          <w:rFonts w:ascii="Helvetica" w:hAnsi="Helvetica" w:cs="Helvetica"/>
          <w:bCs/>
          <w:color w:val="000000"/>
          <w:sz w:val="20"/>
          <w:szCs w:val="20"/>
          <w:lang w:eastAsia="en-GB"/>
        </w:rPr>
        <w:t>additional</w:t>
      </w:r>
      <w:r w:rsidR="00421A15" w:rsidRPr="00280EA4">
        <w:rPr>
          <w:rFonts w:ascii="Helvetica" w:hAnsi="Helvetica" w:cs="Helvetica"/>
          <w:bCs/>
          <w:color w:val="000000"/>
          <w:sz w:val="20"/>
          <w:szCs w:val="20"/>
          <w:lang w:eastAsia="en-GB"/>
        </w:rPr>
        <w:t xml:space="preserve"> shares on the regulated market operated by Nasdaq Tallinn AS (register code 10359206)</w:t>
      </w:r>
      <w:r w:rsidR="00C93BEA" w:rsidRPr="00280EA4">
        <w:rPr>
          <w:rFonts w:ascii="Helvetica" w:hAnsi="Helvetica" w:cs="Helvetica"/>
          <w:bCs/>
          <w:color w:val="000000"/>
          <w:sz w:val="20"/>
          <w:szCs w:val="20"/>
          <w:lang w:eastAsia="en-GB"/>
        </w:rPr>
        <w:t xml:space="preserve">. The Public Offering is based on the decision of </w:t>
      </w:r>
      <w:r w:rsidR="00421A15" w:rsidRPr="00280EA4">
        <w:rPr>
          <w:rFonts w:ascii="Helvetica" w:hAnsi="Helvetica" w:cs="Helvetica"/>
          <w:bCs/>
          <w:color w:val="000000"/>
          <w:sz w:val="20"/>
          <w:szCs w:val="20"/>
          <w:lang w:eastAsia="en-GB"/>
        </w:rPr>
        <w:t xml:space="preserve">the general meeting of shareholders on </w:t>
      </w:r>
      <w:r w:rsidR="00C93BEA" w:rsidRPr="00280EA4">
        <w:rPr>
          <w:rFonts w:ascii="Helvetica" w:hAnsi="Helvetica" w:cs="Helvetica"/>
          <w:bCs/>
          <w:color w:val="000000"/>
          <w:sz w:val="20"/>
          <w:szCs w:val="20"/>
          <w:lang w:eastAsia="en-GB"/>
        </w:rPr>
        <w:t>1</w:t>
      </w:r>
      <w:r w:rsidR="00A150E7" w:rsidRPr="00280EA4">
        <w:rPr>
          <w:rFonts w:ascii="Helvetica" w:hAnsi="Helvetica" w:cs="Helvetica"/>
          <w:bCs/>
          <w:color w:val="000000"/>
          <w:sz w:val="20"/>
          <w:szCs w:val="20"/>
          <w:lang w:eastAsia="en-GB"/>
        </w:rPr>
        <w:t>5.04.</w:t>
      </w:r>
      <w:r w:rsidR="00C93BEA" w:rsidRPr="00280EA4">
        <w:rPr>
          <w:rFonts w:ascii="Helvetica" w:hAnsi="Helvetica" w:cs="Helvetica"/>
          <w:bCs/>
          <w:color w:val="000000"/>
          <w:sz w:val="20"/>
          <w:szCs w:val="20"/>
          <w:lang w:eastAsia="en-GB"/>
        </w:rPr>
        <w:t>20</w:t>
      </w:r>
      <w:r w:rsidR="00A150E7" w:rsidRPr="00280EA4">
        <w:rPr>
          <w:rFonts w:ascii="Helvetica" w:hAnsi="Helvetica" w:cs="Helvetica"/>
          <w:bCs/>
          <w:color w:val="000000"/>
          <w:sz w:val="20"/>
          <w:szCs w:val="20"/>
          <w:lang w:eastAsia="en-GB"/>
        </w:rPr>
        <w:t>21</w:t>
      </w:r>
      <w:r w:rsidR="00421A15" w:rsidRPr="00280EA4">
        <w:rPr>
          <w:rFonts w:ascii="Helvetica" w:hAnsi="Helvetica" w:cs="Helvetica"/>
          <w:bCs/>
          <w:color w:val="000000"/>
          <w:sz w:val="20"/>
          <w:szCs w:val="20"/>
          <w:lang w:eastAsia="en-GB"/>
        </w:rPr>
        <w:t>.</w:t>
      </w:r>
      <w:r w:rsidR="00C93BEA" w:rsidRPr="00280EA4">
        <w:rPr>
          <w:rFonts w:ascii="Helvetica" w:hAnsi="Helvetica" w:cs="Helvetica"/>
          <w:bCs/>
          <w:color w:val="000000"/>
          <w:sz w:val="20"/>
          <w:szCs w:val="20"/>
          <w:lang w:eastAsia="en-GB"/>
        </w:rPr>
        <w:t xml:space="preserve"> </w:t>
      </w:r>
    </w:p>
    <w:p w14:paraId="543D1868" w14:textId="48E70487" w:rsidR="009702D1" w:rsidRPr="00280EA4" w:rsidRDefault="009702D1" w:rsidP="00D140CC">
      <w:pPr>
        <w:spacing w:before="270" w:after="100" w:afterAutospacing="1"/>
        <w:jc w:val="both"/>
        <w:outlineLvl w:val="2"/>
        <w:rPr>
          <w:rFonts w:ascii="Helvetica" w:hAnsi="Helvetica" w:cs="Helvetica"/>
          <w:b/>
          <w:bCs/>
          <w:color w:val="000000"/>
          <w:sz w:val="20"/>
          <w:szCs w:val="20"/>
          <w:lang w:eastAsia="en-GB"/>
        </w:rPr>
      </w:pPr>
      <w:r w:rsidRPr="00280EA4">
        <w:rPr>
          <w:rFonts w:ascii="Helvetica" w:hAnsi="Helvetica" w:cs="Helvetica"/>
          <w:b/>
          <w:bCs/>
          <w:color w:val="000000"/>
          <w:sz w:val="20"/>
          <w:szCs w:val="20"/>
          <w:lang w:eastAsia="en-GB"/>
        </w:rPr>
        <w:t>Public Offering of Shares</w:t>
      </w:r>
      <w:r w:rsidR="0049661A" w:rsidRPr="00280EA4">
        <w:rPr>
          <w:rFonts w:ascii="Helvetica" w:hAnsi="Helvetica" w:cs="Helvetica"/>
          <w:b/>
          <w:bCs/>
          <w:color w:val="000000"/>
          <w:sz w:val="20"/>
          <w:szCs w:val="20"/>
          <w:lang w:eastAsia="en-GB"/>
        </w:rPr>
        <w:tab/>
      </w:r>
      <w:r w:rsidR="0049661A" w:rsidRPr="00280EA4">
        <w:rPr>
          <w:rFonts w:ascii="Helvetica" w:hAnsi="Helvetica" w:cs="Helvetica"/>
          <w:b/>
          <w:bCs/>
          <w:color w:val="000000"/>
          <w:sz w:val="20"/>
          <w:szCs w:val="20"/>
          <w:lang w:eastAsia="en-GB"/>
        </w:rPr>
        <w:tab/>
      </w:r>
      <w:r w:rsidR="0049661A" w:rsidRPr="00280EA4">
        <w:rPr>
          <w:rFonts w:ascii="Helvetica" w:hAnsi="Helvetica" w:cs="Helvetica"/>
          <w:b/>
          <w:bCs/>
          <w:color w:val="000000"/>
          <w:sz w:val="20"/>
          <w:szCs w:val="20"/>
          <w:lang w:eastAsia="en-GB"/>
        </w:rPr>
        <w:tab/>
      </w:r>
      <w:r w:rsidR="0049661A" w:rsidRPr="00280EA4">
        <w:rPr>
          <w:rFonts w:ascii="Helvetica" w:hAnsi="Helvetica" w:cs="Helvetica"/>
          <w:b/>
          <w:bCs/>
          <w:color w:val="000000"/>
          <w:sz w:val="20"/>
          <w:szCs w:val="20"/>
          <w:lang w:eastAsia="en-GB"/>
        </w:rPr>
        <w:tab/>
      </w:r>
      <w:r w:rsidR="0049661A" w:rsidRPr="00280EA4">
        <w:rPr>
          <w:rFonts w:ascii="Helvetica" w:hAnsi="Helvetica" w:cs="Helvetica"/>
          <w:b/>
          <w:bCs/>
          <w:color w:val="000000"/>
          <w:sz w:val="20"/>
          <w:szCs w:val="20"/>
          <w:lang w:eastAsia="en-GB"/>
        </w:rPr>
        <w:tab/>
      </w:r>
      <w:r w:rsidR="0049661A" w:rsidRPr="00280EA4">
        <w:rPr>
          <w:rFonts w:ascii="Helvetica" w:hAnsi="Helvetica" w:cs="Helvetica"/>
          <w:b/>
          <w:bCs/>
          <w:color w:val="000000"/>
          <w:sz w:val="20"/>
          <w:szCs w:val="20"/>
          <w:lang w:eastAsia="en-GB"/>
        </w:rPr>
        <w:tab/>
      </w:r>
      <w:r w:rsidR="0049661A" w:rsidRPr="00280EA4">
        <w:rPr>
          <w:rFonts w:ascii="Helvetica" w:hAnsi="Helvetica" w:cs="Helvetica"/>
          <w:b/>
          <w:bCs/>
          <w:color w:val="000000"/>
          <w:sz w:val="20"/>
          <w:szCs w:val="20"/>
          <w:lang w:eastAsia="en-GB"/>
        </w:rPr>
        <w:tab/>
      </w:r>
      <w:r w:rsidR="0049661A" w:rsidRPr="00280EA4">
        <w:rPr>
          <w:rFonts w:ascii="Helvetica" w:hAnsi="Helvetica" w:cs="Helvetica"/>
          <w:b/>
          <w:bCs/>
          <w:color w:val="000000"/>
          <w:sz w:val="20"/>
          <w:szCs w:val="20"/>
          <w:lang w:eastAsia="en-GB"/>
        </w:rPr>
        <w:tab/>
        <w:t xml:space="preserve">          </w:t>
      </w:r>
      <w:r w:rsidRPr="00280EA4">
        <w:rPr>
          <w:rFonts w:ascii="Helvetica" w:hAnsi="Helvetica" w:cs="Helvetica"/>
          <w:bCs/>
          <w:color w:val="000000"/>
          <w:sz w:val="20"/>
          <w:szCs w:val="20"/>
          <w:lang w:eastAsia="en-GB"/>
        </w:rPr>
        <w:t>EfTE</w:t>
      </w:r>
      <w:r w:rsidR="0049661A" w:rsidRPr="00280EA4">
        <w:rPr>
          <w:rFonts w:ascii="Helvetica" w:hAnsi="Helvetica" w:cs="Helvetica"/>
          <w:bCs/>
          <w:color w:val="000000"/>
          <w:sz w:val="20"/>
          <w:szCs w:val="20"/>
          <w:lang w:eastAsia="en-GB"/>
        </w:rPr>
        <w:t>N Real Estate Fund III AS offers</w:t>
      </w:r>
      <w:r w:rsidRPr="00280EA4">
        <w:rPr>
          <w:rFonts w:ascii="Helvetica" w:hAnsi="Helvetica" w:cs="Helvetica"/>
          <w:bCs/>
          <w:color w:val="000000"/>
          <w:sz w:val="20"/>
          <w:szCs w:val="20"/>
          <w:lang w:eastAsia="en-GB"/>
        </w:rPr>
        <w:t xml:space="preserve"> </w:t>
      </w:r>
      <w:r w:rsidR="001C4E0C" w:rsidRPr="00280EA4">
        <w:rPr>
          <w:rFonts w:ascii="Helvetica" w:hAnsi="Helvetica" w:cs="Helvetica"/>
          <w:bCs/>
          <w:color w:val="000000"/>
          <w:sz w:val="20"/>
          <w:szCs w:val="20"/>
          <w:lang w:eastAsia="en-GB"/>
        </w:rPr>
        <w:t xml:space="preserve">up to </w:t>
      </w:r>
      <w:r w:rsidR="00A150E7" w:rsidRPr="00280EA4">
        <w:rPr>
          <w:rFonts w:ascii="Helvetica" w:hAnsi="Helvetica" w:cs="Helvetica"/>
          <w:bCs/>
          <w:color w:val="000000"/>
          <w:sz w:val="20"/>
          <w:szCs w:val="20"/>
          <w:lang w:eastAsia="en-GB"/>
        </w:rPr>
        <w:t>850</w:t>
      </w:r>
      <w:r w:rsidR="00421A15" w:rsidRPr="00280EA4">
        <w:rPr>
          <w:rFonts w:ascii="Helvetica" w:hAnsi="Helvetica" w:cs="Helvetica"/>
          <w:bCs/>
          <w:color w:val="000000"/>
          <w:sz w:val="20"/>
          <w:szCs w:val="20"/>
          <w:lang w:eastAsia="en-GB"/>
        </w:rPr>
        <w:t xml:space="preserve"> 000</w:t>
      </w:r>
      <w:r w:rsidRPr="00280EA4">
        <w:rPr>
          <w:rFonts w:ascii="Helvetica" w:hAnsi="Helvetica" w:cs="Helvetica"/>
          <w:bCs/>
          <w:color w:val="000000"/>
          <w:sz w:val="20"/>
          <w:szCs w:val="20"/>
          <w:lang w:eastAsia="en-GB"/>
        </w:rPr>
        <w:t xml:space="preserve"> new ordinary shares</w:t>
      </w:r>
      <w:r w:rsidR="0049661A" w:rsidRPr="00280EA4">
        <w:rPr>
          <w:rFonts w:ascii="Helvetica" w:hAnsi="Helvetica" w:cs="Helvetica"/>
          <w:bCs/>
          <w:color w:val="000000"/>
          <w:sz w:val="20"/>
          <w:szCs w:val="20"/>
          <w:lang w:eastAsia="en-GB"/>
        </w:rPr>
        <w:t>, for all natural and legal persons in</w:t>
      </w:r>
      <w:r w:rsidR="00495202" w:rsidRPr="00280EA4">
        <w:rPr>
          <w:rFonts w:ascii="Helvetica" w:hAnsi="Helvetica" w:cs="Helvetica"/>
          <w:bCs/>
          <w:color w:val="000000"/>
          <w:sz w:val="20"/>
          <w:szCs w:val="20"/>
          <w:lang w:eastAsia="en-GB"/>
        </w:rPr>
        <w:t xml:space="preserve"> Estonia in accordance with the Public Offering P</w:t>
      </w:r>
      <w:r w:rsidR="0049661A" w:rsidRPr="00280EA4">
        <w:rPr>
          <w:rFonts w:ascii="Helvetica" w:hAnsi="Helvetica" w:cs="Helvetica"/>
          <w:bCs/>
          <w:color w:val="000000"/>
          <w:sz w:val="20"/>
          <w:szCs w:val="20"/>
          <w:lang w:eastAsia="en-GB"/>
        </w:rPr>
        <w:t xml:space="preserve">rospectus. </w:t>
      </w:r>
      <w:r w:rsidR="0048091C" w:rsidRPr="00280EA4">
        <w:rPr>
          <w:rFonts w:ascii="Helvetica" w:hAnsi="Helvetica" w:cs="Helvetica"/>
          <w:bCs/>
          <w:color w:val="000000"/>
          <w:sz w:val="20"/>
          <w:szCs w:val="20"/>
          <w:lang w:eastAsia="en-GB"/>
        </w:rPr>
        <w:t xml:space="preserve">An investor may subscribe to any </w:t>
      </w:r>
      <w:r w:rsidR="00A97640" w:rsidRPr="00280EA4">
        <w:rPr>
          <w:rFonts w:ascii="Helvetica" w:hAnsi="Helvetica" w:cs="Helvetica"/>
          <w:bCs/>
          <w:color w:val="000000"/>
          <w:sz w:val="20"/>
          <w:szCs w:val="20"/>
          <w:lang w:eastAsia="en-GB"/>
        </w:rPr>
        <w:t>number</w:t>
      </w:r>
      <w:r w:rsidR="0048091C" w:rsidRPr="00280EA4">
        <w:rPr>
          <w:rFonts w:ascii="Helvetica" w:hAnsi="Helvetica" w:cs="Helvetica"/>
          <w:bCs/>
          <w:color w:val="000000"/>
          <w:sz w:val="20"/>
          <w:szCs w:val="20"/>
          <w:lang w:eastAsia="en-GB"/>
        </w:rPr>
        <w:t xml:space="preserve"> of shares offered. </w:t>
      </w:r>
      <w:r w:rsidR="0049661A" w:rsidRPr="00280EA4">
        <w:rPr>
          <w:rFonts w:ascii="Helvetica" w:hAnsi="Helvetica" w:cs="Helvetica"/>
          <w:bCs/>
          <w:color w:val="000000"/>
          <w:sz w:val="20"/>
          <w:szCs w:val="20"/>
          <w:lang w:eastAsia="en-GB"/>
        </w:rPr>
        <w:t xml:space="preserve">The minimum and maximum number of shares offered that can be subscribed for has not been established. </w:t>
      </w:r>
      <w:r w:rsidR="00421A15" w:rsidRPr="00280EA4">
        <w:rPr>
          <w:rFonts w:ascii="Helvetica" w:hAnsi="Helvetica" w:cs="Helvetica"/>
          <w:bCs/>
          <w:color w:val="000000"/>
          <w:sz w:val="20"/>
          <w:szCs w:val="20"/>
          <w:lang w:eastAsia="en-GB"/>
        </w:rPr>
        <w:t xml:space="preserve">Existing shareholders of the fund </w:t>
      </w:r>
      <w:r w:rsidR="00A97640" w:rsidRPr="00280EA4">
        <w:rPr>
          <w:rFonts w:ascii="Helvetica" w:hAnsi="Helvetica" w:cs="Helvetica"/>
          <w:bCs/>
          <w:color w:val="000000"/>
          <w:sz w:val="20"/>
          <w:szCs w:val="20"/>
          <w:lang w:eastAsia="en-GB"/>
        </w:rPr>
        <w:t>i.e.,</w:t>
      </w:r>
      <w:r w:rsidR="00A150E7" w:rsidRPr="00280EA4">
        <w:rPr>
          <w:rFonts w:ascii="Helvetica" w:hAnsi="Helvetica" w:cs="Helvetica"/>
          <w:bCs/>
          <w:color w:val="000000"/>
          <w:sz w:val="20"/>
          <w:szCs w:val="20"/>
          <w:lang w:eastAsia="en-GB"/>
        </w:rPr>
        <w:t xml:space="preserve"> </w:t>
      </w:r>
      <w:r w:rsidR="00A150E7" w:rsidRPr="00280EA4">
        <w:rPr>
          <w:rFonts w:ascii="Helvetica" w:hAnsi="Helvetica" w:cs="Helvetica"/>
          <w:color w:val="000000" w:themeColor="text1"/>
          <w:sz w:val="20"/>
          <w:szCs w:val="20"/>
          <w:lang w:val="en-GB"/>
        </w:rPr>
        <w:t xml:space="preserve">the persons who have been entered in the list of shareholders of the fund as of 29.04.2021 as </w:t>
      </w:r>
      <w:r w:rsidR="00A150E7" w:rsidRPr="00280EA4">
        <w:rPr>
          <w:rFonts w:ascii="Helvetica" w:hAnsi="Helvetica" w:cs="Helvetica"/>
          <w:sz w:val="20"/>
          <w:szCs w:val="20"/>
          <w:lang w:val="en-GB"/>
        </w:rPr>
        <w:t xml:space="preserve">at the end of the working day </w:t>
      </w:r>
      <w:r w:rsidR="00A150E7" w:rsidRPr="00280EA4">
        <w:rPr>
          <w:rFonts w:ascii="Helvetica" w:hAnsi="Helvetica" w:cs="Helvetica"/>
          <w:color w:val="000000" w:themeColor="text1"/>
          <w:sz w:val="20"/>
          <w:szCs w:val="20"/>
          <w:lang w:val="en-GB"/>
        </w:rPr>
        <w:t>of Nasdaq CSD</w:t>
      </w:r>
      <w:r w:rsidR="00421A15" w:rsidRPr="00280EA4">
        <w:rPr>
          <w:rFonts w:ascii="Helvetica" w:hAnsi="Helvetica" w:cs="Helvetica"/>
          <w:bCs/>
          <w:color w:val="000000"/>
          <w:sz w:val="20"/>
          <w:szCs w:val="20"/>
          <w:lang w:eastAsia="en-GB"/>
        </w:rPr>
        <w:t>, have a pre-emptive right to subscribe for new shares in proportion to the sum of the nominal values of their shares</w:t>
      </w:r>
      <w:r w:rsidRPr="00280EA4">
        <w:rPr>
          <w:rFonts w:ascii="Helvetica" w:hAnsi="Helvetica" w:cs="Helvetica"/>
          <w:bCs/>
          <w:color w:val="000000"/>
          <w:sz w:val="20"/>
          <w:szCs w:val="20"/>
          <w:lang w:eastAsia="en-GB"/>
        </w:rPr>
        <w:t xml:space="preserve">. The above, however, does not preclude the existing shareholders’ right to subscribe </w:t>
      </w:r>
      <w:proofErr w:type="gramStart"/>
      <w:r w:rsidR="00421A15" w:rsidRPr="00280EA4">
        <w:rPr>
          <w:rFonts w:ascii="Helvetica" w:hAnsi="Helvetica" w:cs="Helvetica"/>
          <w:bCs/>
          <w:color w:val="000000"/>
          <w:sz w:val="20"/>
          <w:szCs w:val="20"/>
          <w:lang w:eastAsia="en-GB"/>
        </w:rPr>
        <w:t xml:space="preserve">more or less </w:t>
      </w:r>
      <w:r w:rsidRPr="00280EA4">
        <w:rPr>
          <w:rFonts w:ascii="Helvetica" w:hAnsi="Helvetica" w:cs="Helvetica"/>
          <w:bCs/>
          <w:color w:val="000000"/>
          <w:sz w:val="20"/>
          <w:szCs w:val="20"/>
          <w:lang w:eastAsia="en-GB"/>
        </w:rPr>
        <w:t>for</w:t>
      </w:r>
      <w:proofErr w:type="gramEnd"/>
      <w:r w:rsidRPr="00280EA4">
        <w:rPr>
          <w:rFonts w:ascii="Helvetica" w:hAnsi="Helvetica" w:cs="Helvetica"/>
          <w:bCs/>
          <w:color w:val="000000"/>
          <w:sz w:val="20"/>
          <w:szCs w:val="20"/>
          <w:lang w:eastAsia="en-GB"/>
        </w:rPr>
        <w:t xml:space="preserve"> the shares offered or not to subscribe for the shares offered. </w:t>
      </w:r>
      <w:r w:rsidRPr="00280EA4">
        <w:rPr>
          <w:rFonts w:ascii="Helvetica" w:hAnsi="Helvetica" w:cs="Helvetica"/>
          <w:color w:val="000000"/>
          <w:sz w:val="20"/>
          <w:szCs w:val="20"/>
        </w:rPr>
        <w:t xml:space="preserve">Existing shares are not sold in the Offer. </w:t>
      </w:r>
    </w:p>
    <w:p w14:paraId="46DE242C" w14:textId="298C15E5" w:rsidR="0049661A" w:rsidRPr="00280EA4" w:rsidRDefault="0049661A" w:rsidP="00D140CC">
      <w:pPr>
        <w:spacing w:before="270" w:after="100" w:afterAutospacing="1"/>
        <w:jc w:val="both"/>
        <w:outlineLvl w:val="2"/>
        <w:rPr>
          <w:rFonts w:ascii="Helvetica" w:hAnsi="Helvetica" w:cs="Helvetica"/>
          <w:bCs/>
          <w:color w:val="000000"/>
          <w:sz w:val="20"/>
          <w:szCs w:val="20"/>
          <w:lang w:eastAsia="en-GB"/>
        </w:rPr>
      </w:pPr>
      <w:r w:rsidRPr="00280EA4">
        <w:rPr>
          <w:rFonts w:ascii="Helvetica" w:hAnsi="Helvetica" w:cs="Helvetica"/>
          <w:bCs/>
          <w:color w:val="000000"/>
          <w:sz w:val="20"/>
          <w:szCs w:val="20"/>
          <w:lang w:eastAsia="en-GB"/>
        </w:rPr>
        <w:t>The offering price of one share offered is 1</w:t>
      </w:r>
      <w:r w:rsidR="00421A15" w:rsidRPr="00280EA4">
        <w:rPr>
          <w:rFonts w:ascii="Helvetica" w:hAnsi="Helvetica" w:cs="Helvetica"/>
          <w:bCs/>
          <w:color w:val="000000"/>
          <w:sz w:val="20"/>
          <w:szCs w:val="20"/>
          <w:lang w:eastAsia="en-GB"/>
        </w:rPr>
        <w:t>6</w:t>
      </w:r>
      <w:r w:rsidRPr="00280EA4">
        <w:rPr>
          <w:rFonts w:ascii="Helvetica" w:hAnsi="Helvetica" w:cs="Helvetica"/>
          <w:bCs/>
          <w:color w:val="000000"/>
          <w:sz w:val="20"/>
          <w:szCs w:val="20"/>
          <w:lang w:eastAsia="en-GB"/>
        </w:rPr>
        <w:t xml:space="preserve"> euros, of which 10 euros is the nominal value of the share offered and </w:t>
      </w:r>
      <w:r w:rsidR="00A150E7" w:rsidRPr="00280EA4">
        <w:rPr>
          <w:rFonts w:ascii="Helvetica" w:hAnsi="Helvetica" w:cs="Helvetica"/>
          <w:bCs/>
          <w:color w:val="000000"/>
          <w:sz w:val="20"/>
          <w:szCs w:val="20"/>
          <w:lang w:eastAsia="en-GB"/>
        </w:rPr>
        <w:t>7,8</w:t>
      </w:r>
      <w:r w:rsidRPr="00280EA4">
        <w:rPr>
          <w:rFonts w:ascii="Helvetica" w:hAnsi="Helvetica" w:cs="Helvetica"/>
          <w:bCs/>
          <w:color w:val="000000"/>
          <w:sz w:val="20"/>
          <w:szCs w:val="20"/>
          <w:lang w:eastAsia="en-GB"/>
        </w:rPr>
        <w:t xml:space="preserve"> is the issue premium.</w:t>
      </w:r>
    </w:p>
    <w:p w14:paraId="531E9662" w14:textId="77777777" w:rsidR="009702D1" w:rsidRPr="00280EA4" w:rsidRDefault="009702D1" w:rsidP="00D140CC">
      <w:pPr>
        <w:widowControl w:val="0"/>
        <w:autoSpaceDE w:val="0"/>
        <w:autoSpaceDN w:val="0"/>
        <w:adjustRightInd w:val="0"/>
        <w:spacing w:after="240" w:line="220" w:lineRule="atLeast"/>
        <w:jc w:val="both"/>
        <w:rPr>
          <w:rFonts w:ascii="Helvetica" w:hAnsi="Helvetica" w:cs="Helvetica"/>
          <w:color w:val="000000"/>
          <w:sz w:val="20"/>
          <w:szCs w:val="20"/>
        </w:rPr>
      </w:pPr>
      <w:r w:rsidRPr="00280EA4">
        <w:rPr>
          <w:rFonts w:ascii="Helvetica" w:hAnsi="Helvetica" w:cs="Helvetica"/>
          <w:color w:val="000000"/>
          <w:sz w:val="20"/>
          <w:szCs w:val="20"/>
        </w:rPr>
        <w:t>The subscription of the shares offered is carried out in Estonia through the account managers of Nasdaq CSD SE Estonia</w:t>
      </w:r>
      <w:r w:rsidR="0049661A" w:rsidRPr="00280EA4">
        <w:rPr>
          <w:rFonts w:ascii="Helvetica" w:hAnsi="Helvetica" w:cs="Helvetica"/>
          <w:color w:val="000000"/>
          <w:sz w:val="20"/>
          <w:szCs w:val="20"/>
        </w:rPr>
        <w:t>n branch. The subscription order shall include the following information:</w:t>
      </w:r>
    </w:p>
    <w:tbl>
      <w:tblPr>
        <w:tblW w:w="4316"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3850"/>
        <w:gridCol w:w="3936"/>
      </w:tblGrid>
      <w:tr w:rsidR="0049661A" w:rsidRPr="00280EA4" w14:paraId="581CED88" w14:textId="77777777" w:rsidTr="002213BD">
        <w:trPr>
          <w:trHeight w:val="138"/>
          <w:tblCellSpacing w:w="0" w:type="dxa"/>
        </w:trPr>
        <w:tc>
          <w:tcPr>
            <w:tcW w:w="3850" w:type="dxa"/>
            <w:shd w:val="clear" w:color="auto" w:fill="FFFFFF"/>
            <w:noWrap/>
            <w:vAlign w:val="center"/>
          </w:tcPr>
          <w:p w14:paraId="577C04BE" w14:textId="77777777" w:rsidR="0049661A" w:rsidRPr="00280EA4" w:rsidRDefault="0048091C"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S</w:t>
            </w:r>
            <w:r w:rsidR="00972749" w:rsidRPr="00280EA4">
              <w:rPr>
                <w:rFonts w:ascii="Helvetica" w:hAnsi="Helvetica" w:cs="Helvetica"/>
                <w:color w:val="000000"/>
                <w:sz w:val="20"/>
                <w:szCs w:val="20"/>
                <w:lang w:eastAsia="et-EE"/>
              </w:rPr>
              <w:t>ecurities account</w:t>
            </w:r>
            <w:r w:rsidRPr="00280EA4">
              <w:rPr>
                <w:rFonts w:ascii="Helvetica" w:hAnsi="Helvetica" w:cs="Helvetica"/>
                <w:color w:val="000000"/>
                <w:sz w:val="20"/>
                <w:szCs w:val="20"/>
                <w:lang w:eastAsia="et-EE"/>
              </w:rPr>
              <w:t xml:space="preserve"> holder</w:t>
            </w:r>
            <w:r w:rsidR="0049661A" w:rsidRPr="00280EA4">
              <w:rPr>
                <w:rFonts w:ascii="Helvetica" w:hAnsi="Helvetica" w:cs="Helvetica"/>
                <w:color w:val="000000"/>
                <w:sz w:val="20"/>
                <w:szCs w:val="20"/>
                <w:lang w:eastAsia="et-EE"/>
              </w:rPr>
              <w:t>:</w:t>
            </w:r>
          </w:p>
        </w:tc>
        <w:tc>
          <w:tcPr>
            <w:tcW w:w="3936" w:type="dxa"/>
            <w:shd w:val="clear" w:color="auto" w:fill="FFFFFF"/>
            <w:vAlign w:val="center"/>
          </w:tcPr>
          <w:p w14:paraId="4BCED061" w14:textId="77777777" w:rsidR="0049661A" w:rsidRPr="00280EA4" w:rsidRDefault="0048091C"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Name of the investor</w:t>
            </w:r>
          </w:p>
        </w:tc>
      </w:tr>
      <w:tr w:rsidR="0049661A" w:rsidRPr="00280EA4" w14:paraId="02126BFD" w14:textId="77777777" w:rsidTr="002213BD">
        <w:trPr>
          <w:trHeight w:val="149"/>
          <w:tblCellSpacing w:w="0" w:type="dxa"/>
        </w:trPr>
        <w:tc>
          <w:tcPr>
            <w:tcW w:w="3850" w:type="dxa"/>
            <w:shd w:val="clear" w:color="auto" w:fill="FFFFFF"/>
            <w:noWrap/>
            <w:vAlign w:val="center"/>
          </w:tcPr>
          <w:p w14:paraId="68D16181" w14:textId="77777777" w:rsidR="0049661A" w:rsidRPr="00280EA4" w:rsidRDefault="00972749"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Securities account</w:t>
            </w:r>
            <w:r w:rsidR="0049661A" w:rsidRPr="00280EA4">
              <w:rPr>
                <w:rFonts w:ascii="Helvetica" w:hAnsi="Helvetica" w:cs="Helvetica"/>
                <w:color w:val="000000"/>
                <w:sz w:val="20"/>
                <w:szCs w:val="20"/>
                <w:lang w:eastAsia="et-EE"/>
              </w:rPr>
              <w:t>:</w:t>
            </w:r>
          </w:p>
        </w:tc>
        <w:tc>
          <w:tcPr>
            <w:tcW w:w="3936" w:type="dxa"/>
            <w:shd w:val="clear" w:color="auto" w:fill="FFFFFF"/>
            <w:vAlign w:val="center"/>
          </w:tcPr>
          <w:p w14:paraId="43968FAB" w14:textId="77777777" w:rsidR="0049661A" w:rsidRPr="00280EA4" w:rsidRDefault="0048091C"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Securities account number of the investor</w:t>
            </w:r>
          </w:p>
        </w:tc>
      </w:tr>
      <w:tr w:rsidR="0049661A" w:rsidRPr="00280EA4" w14:paraId="718B90C5" w14:textId="77777777" w:rsidTr="002213BD">
        <w:trPr>
          <w:trHeight w:val="138"/>
          <w:tblCellSpacing w:w="0" w:type="dxa"/>
        </w:trPr>
        <w:tc>
          <w:tcPr>
            <w:tcW w:w="3850" w:type="dxa"/>
            <w:shd w:val="clear" w:color="auto" w:fill="FFFFFF"/>
            <w:noWrap/>
            <w:vAlign w:val="center"/>
          </w:tcPr>
          <w:p w14:paraId="17C58CB9" w14:textId="77777777" w:rsidR="0049661A" w:rsidRPr="00280EA4" w:rsidRDefault="00C0158F"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Securities account manager</w:t>
            </w:r>
            <w:r w:rsidR="0049661A" w:rsidRPr="00280EA4">
              <w:rPr>
                <w:rFonts w:ascii="Helvetica" w:hAnsi="Helvetica" w:cs="Helvetica"/>
                <w:color w:val="000000"/>
                <w:sz w:val="20"/>
                <w:szCs w:val="20"/>
                <w:lang w:eastAsia="et-EE"/>
              </w:rPr>
              <w:t>:</w:t>
            </w:r>
          </w:p>
        </w:tc>
        <w:tc>
          <w:tcPr>
            <w:tcW w:w="3936" w:type="dxa"/>
            <w:shd w:val="clear" w:color="auto" w:fill="FFFFFF"/>
            <w:vAlign w:val="center"/>
          </w:tcPr>
          <w:p w14:paraId="10B45773" w14:textId="14CD555C" w:rsidR="0049661A" w:rsidRPr="00280EA4" w:rsidRDefault="0048091C"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Name of the investor's</w:t>
            </w:r>
            <w:r w:rsidR="00D140CC" w:rsidRPr="00280EA4">
              <w:rPr>
                <w:rFonts w:ascii="Helvetica" w:hAnsi="Helvetica" w:cs="Helvetica"/>
                <w:color w:val="000000"/>
                <w:sz w:val="20"/>
                <w:szCs w:val="20"/>
                <w:lang w:eastAsia="et-EE"/>
              </w:rPr>
              <w:t xml:space="preserve"> </w:t>
            </w:r>
            <w:r w:rsidRPr="00280EA4">
              <w:rPr>
                <w:rFonts w:ascii="Helvetica" w:hAnsi="Helvetica" w:cs="Helvetica"/>
                <w:color w:val="000000"/>
                <w:sz w:val="20"/>
                <w:szCs w:val="20"/>
                <w:lang w:eastAsia="et-EE"/>
              </w:rPr>
              <w:t>securities account manager</w:t>
            </w:r>
          </w:p>
        </w:tc>
      </w:tr>
      <w:tr w:rsidR="0049661A" w:rsidRPr="00280EA4" w14:paraId="306ED862" w14:textId="77777777" w:rsidTr="002213BD">
        <w:trPr>
          <w:trHeight w:val="242"/>
          <w:tblCellSpacing w:w="0" w:type="dxa"/>
        </w:trPr>
        <w:tc>
          <w:tcPr>
            <w:tcW w:w="3850" w:type="dxa"/>
            <w:shd w:val="clear" w:color="auto" w:fill="FFFFFF"/>
            <w:noWrap/>
            <w:vAlign w:val="center"/>
          </w:tcPr>
          <w:p w14:paraId="123DC609" w14:textId="77777777" w:rsidR="0049661A" w:rsidRPr="00280EA4" w:rsidRDefault="00C0158F"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Security</w:t>
            </w:r>
            <w:r w:rsidR="0049661A" w:rsidRPr="00280EA4">
              <w:rPr>
                <w:rFonts w:ascii="Helvetica" w:hAnsi="Helvetica" w:cs="Helvetica"/>
                <w:color w:val="000000"/>
                <w:sz w:val="20"/>
                <w:szCs w:val="20"/>
                <w:lang w:eastAsia="et-EE"/>
              </w:rPr>
              <w:t>:</w:t>
            </w:r>
          </w:p>
        </w:tc>
        <w:tc>
          <w:tcPr>
            <w:tcW w:w="3936" w:type="dxa"/>
            <w:shd w:val="clear" w:color="auto" w:fill="FFFFFF"/>
            <w:vAlign w:val="center"/>
          </w:tcPr>
          <w:p w14:paraId="66E31378" w14:textId="2CA39389" w:rsidR="0049661A" w:rsidRPr="00280EA4" w:rsidRDefault="0049661A" w:rsidP="00381324">
            <w:pPr>
              <w:rPr>
                <w:rFonts w:ascii="Helvetica" w:hAnsi="Helvetica" w:cs="Helvetica"/>
                <w:color w:val="000000"/>
                <w:sz w:val="20"/>
                <w:szCs w:val="20"/>
                <w:lang w:eastAsia="et-EE"/>
              </w:rPr>
            </w:pPr>
            <w:proofErr w:type="spellStart"/>
            <w:r w:rsidRPr="00280EA4">
              <w:rPr>
                <w:rFonts w:ascii="Helvetica" w:hAnsi="Helvetica" w:cs="Helvetica"/>
                <w:color w:val="000000"/>
                <w:sz w:val="20"/>
                <w:szCs w:val="20"/>
                <w:lang w:eastAsia="et-EE"/>
              </w:rPr>
              <w:t>EfTEN</w:t>
            </w:r>
            <w:proofErr w:type="spellEnd"/>
            <w:r w:rsidRPr="00280EA4">
              <w:rPr>
                <w:rFonts w:ascii="Helvetica" w:hAnsi="Helvetica" w:cs="Helvetica"/>
                <w:color w:val="000000"/>
                <w:sz w:val="20"/>
                <w:szCs w:val="20"/>
                <w:lang w:eastAsia="et-EE"/>
              </w:rPr>
              <w:t xml:space="preserve"> Real</w:t>
            </w:r>
            <w:r w:rsidR="0048091C" w:rsidRPr="00280EA4">
              <w:rPr>
                <w:rFonts w:ascii="Helvetica" w:hAnsi="Helvetica" w:cs="Helvetica"/>
                <w:color w:val="000000"/>
                <w:sz w:val="20"/>
                <w:szCs w:val="20"/>
                <w:lang w:eastAsia="et-EE"/>
              </w:rPr>
              <w:t xml:space="preserve"> Estate Fund III </w:t>
            </w:r>
            <w:proofErr w:type="spellStart"/>
            <w:r w:rsidR="0048091C" w:rsidRPr="00280EA4">
              <w:rPr>
                <w:rFonts w:ascii="Helvetica" w:hAnsi="Helvetica" w:cs="Helvetica"/>
                <w:color w:val="000000"/>
                <w:sz w:val="20"/>
                <w:szCs w:val="20"/>
                <w:lang w:eastAsia="et-EE"/>
              </w:rPr>
              <w:t>aktsia</w:t>
            </w:r>
            <w:proofErr w:type="spellEnd"/>
            <w:r w:rsidR="0048091C" w:rsidRPr="00280EA4">
              <w:rPr>
                <w:rFonts w:ascii="Helvetica" w:hAnsi="Helvetica" w:cs="Helvetica"/>
                <w:color w:val="000000"/>
                <w:sz w:val="20"/>
                <w:szCs w:val="20"/>
                <w:lang w:eastAsia="et-EE"/>
              </w:rPr>
              <w:t xml:space="preserve"> additional</w:t>
            </w:r>
            <w:r w:rsidRPr="00280EA4">
              <w:rPr>
                <w:rFonts w:ascii="Helvetica" w:hAnsi="Helvetica" w:cs="Helvetica"/>
                <w:color w:val="000000"/>
                <w:sz w:val="20"/>
                <w:szCs w:val="20"/>
                <w:lang w:eastAsia="et-EE"/>
              </w:rPr>
              <w:t xml:space="preserve"> </w:t>
            </w:r>
            <w:r w:rsidR="00A150E7" w:rsidRPr="00280EA4">
              <w:rPr>
                <w:rFonts w:ascii="Helvetica" w:hAnsi="Helvetica" w:cs="Helvetica"/>
                <w:color w:val="000000"/>
                <w:sz w:val="20"/>
                <w:szCs w:val="20"/>
                <w:lang w:eastAsia="et-EE"/>
              </w:rPr>
              <w:t>6</w:t>
            </w:r>
          </w:p>
        </w:tc>
      </w:tr>
      <w:tr w:rsidR="0049661A" w:rsidRPr="00280EA4" w14:paraId="1D3B7D67" w14:textId="77777777" w:rsidTr="002213BD">
        <w:trPr>
          <w:trHeight w:val="138"/>
          <w:tblCellSpacing w:w="0" w:type="dxa"/>
        </w:trPr>
        <w:tc>
          <w:tcPr>
            <w:tcW w:w="3850" w:type="dxa"/>
            <w:shd w:val="clear" w:color="auto" w:fill="FFFFFF"/>
            <w:noWrap/>
            <w:vAlign w:val="center"/>
          </w:tcPr>
          <w:p w14:paraId="276FEFC2" w14:textId="77777777" w:rsidR="0049661A" w:rsidRPr="00280EA4" w:rsidRDefault="0048091C"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ISIN</w:t>
            </w:r>
            <w:r w:rsidR="0049661A" w:rsidRPr="00280EA4">
              <w:rPr>
                <w:rFonts w:ascii="Helvetica" w:hAnsi="Helvetica" w:cs="Helvetica"/>
                <w:color w:val="000000"/>
                <w:sz w:val="20"/>
                <w:szCs w:val="20"/>
                <w:lang w:eastAsia="et-EE"/>
              </w:rPr>
              <w:t>:</w:t>
            </w:r>
          </w:p>
        </w:tc>
        <w:tc>
          <w:tcPr>
            <w:tcW w:w="3936" w:type="dxa"/>
            <w:shd w:val="clear" w:color="auto" w:fill="FFFFFF"/>
            <w:vAlign w:val="center"/>
          </w:tcPr>
          <w:p w14:paraId="0C4DBC3F" w14:textId="22CA4FDF" w:rsidR="0049661A" w:rsidRPr="00280EA4" w:rsidRDefault="0049661A"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EE</w:t>
            </w:r>
            <w:r w:rsidR="00A150E7" w:rsidRPr="00280EA4">
              <w:rPr>
                <w:rFonts w:ascii="Helvetica" w:hAnsi="Helvetica" w:cs="Helvetica"/>
                <w:color w:val="000000"/>
                <w:sz w:val="20"/>
                <w:szCs w:val="20"/>
                <w:lang w:eastAsia="et-EE"/>
              </w:rPr>
              <w:t>3800001242</w:t>
            </w:r>
            <w:r w:rsidRPr="00280EA4" w:rsidDel="00B449AF">
              <w:rPr>
                <w:rFonts w:ascii="Helvetica" w:hAnsi="Helvetica" w:cs="Helvetica"/>
                <w:color w:val="000000"/>
                <w:sz w:val="20"/>
                <w:szCs w:val="20"/>
                <w:lang w:eastAsia="et-EE"/>
              </w:rPr>
              <w:t xml:space="preserve"> </w:t>
            </w:r>
          </w:p>
        </w:tc>
      </w:tr>
      <w:tr w:rsidR="0049661A" w:rsidRPr="00280EA4" w14:paraId="0EA498B4" w14:textId="77777777" w:rsidTr="002213BD">
        <w:trPr>
          <w:trHeight w:val="279"/>
          <w:tblCellSpacing w:w="0" w:type="dxa"/>
        </w:trPr>
        <w:tc>
          <w:tcPr>
            <w:tcW w:w="3850" w:type="dxa"/>
            <w:shd w:val="clear" w:color="auto" w:fill="FFFFFF"/>
            <w:noWrap/>
            <w:vAlign w:val="center"/>
          </w:tcPr>
          <w:p w14:paraId="0E469AF5" w14:textId="77777777" w:rsidR="0049661A" w:rsidRPr="00280EA4" w:rsidRDefault="0048091C"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Quantity</w:t>
            </w:r>
            <w:r w:rsidR="00C0158F" w:rsidRPr="00280EA4">
              <w:rPr>
                <w:rFonts w:ascii="Helvetica" w:hAnsi="Helvetica" w:cs="Helvetica"/>
                <w:color w:val="000000"/>
                <w:sz w:val="20"/>
                <w:szCs w:val="20"/>
                <w:lang w:eastAsia="et-EE"/>
              </w:rPr>
              <w:t xml:space="preserve"> of securities</w:t>
            </w:r>
            <w:r w:rsidR="0049661A" w:rsidRPr="00280EA4">
              <w:rPr>
                <w:rFonts w:ascii="Helvetica" w:hAnsi="Helvetica" w:cs="Helvetica"/>
                <w:color w:val="000000"/>
                <w:sz w:val="20"/>
                <w:szCs w:val="20"/>
                <w:lang w:eastAsia="et-EE"/>
              </w:rPr>
              <w:t>:</w:t>
            </w:r>
          </w:p>
        </w:tc>
        <w:tc>
          <w:tcPr>
            <w:tcW w:w="3936" w:type="dxa"/>
            <w:shd w:val="clear" w:color="auto" w:fill="FFFFFF"/>
            <w:vAlign w:val="center"/>
          </w:tcPr>
          <w:p w14:paraId="45B367DE" w14:textId="77777777" w:rsidR="0049661A" w:rsidRPr="00280EA4" w:rsidRDefault="00C0158F"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The number of shares offered, which the investor wishes to subscribe</w:t>
            </w:r>
          </w:p>
        </w:tc>
      </w:tr>
      <w:tr w:rsidR="0049661A" w:rsidRPr="00280EA4" w14:paraId="76582C33" w14:textId="77777777" w:rsidTr="002213BD">
        <w:trPr>
          <w:trHeight w:val="149"/>
          <w:tblCellSpacing w:w="0" w:type="dxa"/>
        </w:trPr>
        <w:tc>
          <w:tcPr>
            <w:tcW w:w="3850" w:type="dxa"/>
            <w:shd w:val="clear" w:color="auto" w:fill="FFFFFF"/>
            <w:noWrap/>
            <w:vAlign w:val="center"/>
          </w:tcPr>
          <w:p w14:paraId="5B82D7D4" w14:textId="77777777" w:rsidR="0049661A" w:rsidRPr="00280EA4" w:rsidRDefault="00C0158F"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Price (per share</w:t>
            </w:r>
            <w:r w:rsidR="0049661A" w:rsidRPr="00280EA4">
              <w:rPr>
                <w:rFonts w:ascii="Helvetica" w:hAnsi="Helvetica" w:cs="Helvetica"/>
                <w:color w:val="000000"/>
                <w:sz w:val="20"/>
                <w:szCs w:val="20"/>
                <w:lang w:eastAsia="et-EE"/>
              </w:rPr>
              <w:t>):</w:t>
            </w:r>
          </w:p>
        </w:tc>
        <w:tc>
          <w:tcPr>
            <w:tcW w:w="3936" w:type="dxa"/>
            <w:shd w:val="clear" w:color="auto" w:fill="FFFFFF"/>
            <w:vAlign w:val="center"/>
          </w:tcPr>
          <w:p w14:paraId="459EC0D3" w14:textId="5A6D0E4B" w:rsidR="0049661A" w:rsidRPr="00280EA4" w:rsidRDefault="0049661A"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1</w:t>
            </w:r>
            <w:r w:rsidR="00A150E7" w:rsidRPr="00280EA4">
              <w:rPr>
                <w:rFonts w:ascii="Helvetica" w:hAnsi="Helvetica" w:cs="Helvetica"/>
                <w:color w:val="000000"/>
                <w:sz w:val="20"/>
                <w:szCs w:val="20"/>
                <w:lang w:eastAsia="et-EE"/>
              </w:rPr>
              <w:t>7,8</w:t>
            </w:r>
            <w:r w:rsidRPr="00280EA4">
              <w:rPr>
                <w:rFonts w:ascii="Helvetica" w:hAnsi="Helvetica" w:cs="Helvetica"/>
                <w:color w:val="000000"/>
                <w:sz w:val="20"/>
                <w:szCs w:val="20"/>
                <w:lang w:eastAsia="et-EE"/>
              </w:rPr>
              <w:t xml:space="preserve"> </w:t>
            </w:r>
            <w:r w:rsidR="00C0158F" w:rsidRPr="00280EA4">
              <w:rPr>
                <w:rFonts w:ascii="Helvetica" w:hAnsi="Helvetica" w:cs="Helvetica"/>
                <w:color w:val="000000"/>
                <w:sz w:val="20"/>
                <w:szCs w:val="20"/>
                <w:lang w:eastAsia="et-EE"/>
              </w:rPr>
              <w:t>EUR</w:t>
            </w:r>
          </w:p>
        </w:tc>
      </w:tr>
      <w:tr w:rsidR="0049661A" w:rsidRPr="00280EA4" w14:paraId="6D05248C" w14:textId="77777777" w:rsidTr="002213BD">
        <w:trPr>
          <w:trHeight w:val="279"/>
          <w:tblCellSpacing w:w="0" w:type="dxa"/>
        </w:trPr>
        <w:tc>
          <w:tcPr>
            <w:tcW w:w="3850" w:type="dxa"/>
            <w:shd w:val="clear" w:color="auto" w:fill="FFFFFF"/>
            <w:noWrap/>
            <w:vAlign w:val="center"/>
          </w:tcPr>
          <w:p w14:paraId="2FA4A0A8" w14:textId="77777777" w:rsidR="0049661A" w:rsidRPr="00280EA4" w:rsidRDefault="00C0158F"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Transaction price</w:t>
            </w:r>
            <w:r w:rsidR="0049661A" w:rsidRPr="00280EA4">
              <w:rPr>
                <w:rFonts w:ascii="Helvetica" w:hAnsi="Helvetica" w:cs="Helvetica"/>
                <w:color w:val="000000"/>
                <w:sz w:val="20"/>
                <w:szCs w:val="20"/>
                <w:lang w:eastAsia="et-EE"/>
              </w:rPr>
              <w:t>:</w:t>
            </w:r>
          </w:p>
        </w:tc>
        <w:tc>
          <w:tcPr>
            <w:tcW w:w="3936" w:type="dxa"/>
            <w:shd w:val="clear" w:color="auto" w:fill="FFFFFF"/>
            <w:vAlign w:val="center"/>
          </w:tcPr>
          <w:p w14:paraId="59B417E2" w14:textId="77777777" w:rsidR="0049661A" w:rsidRPr="00280EA4" w:rsidRDefault="00C0158F"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Number of shares offered, which the investor wishes to subscribe, multiplied by the price of the offered shares</w:t>
            </w:r>
          </w:p>
        </w:tc>
      </w:tr>
      <w:tr w:rsidR="0049661A" w:rsidRPr="00280EA4" w14:paraId="5DC661E7" w14:textId="77777777" w:rsidTr="002213BD">
        <w:trPr>
          <w:trHeight w:val="231"/>
          <w:tblCellSpacing w:w="0" w:type="dxa"/>
        </w:trPr>
        <w:tc>
          <w:tcPr>
            <w:tcW w:w="3850" w:type="dxa"/>
            <w:shd w:val="clear" w:color="auto" w:fill="FFFFFF"/>
            <w:noWrap/>
            <w:vAlign w:val="center"/>
          </w:tcPr>
          <w:p w14:paraId="7957FAD4" w14:textId="77777777" w:rsidR="0049661A" w:rsidRPr="00280EA4" w:rsidRDefault="00C0158F"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Counterparty</w:t>
            </w:r>
            <w:r w:rsidR="0048091C" w:rsidRPr="00280EA4">
              <w:rPr>
                <w:rFonts w:ascii="Helvetica" w:hAnsi="Helvetica" w:cs="Helvetica"/>
                <w:color w:val="000000"/>
                <w:sz w:val="20"/>
                <w:szCs w:val="20"/>
                <w:lang w:eastAsia="et-EE"/>
              </w:rPr>
              <w:t xml:space="preserve"> of transaction</w:t>
            </w:r>
            <w:r w:rsidR="0049661A" w:rsidRPr="00280EA4">
              <w:rPr>
                <w:rFonts w:ascii="Helvetica" w:hAnsi="Helvetica" w:cs="Helvetica"/>
                <w:color w:val="000000"/>
                <w:sz w:val="20"/>
                <w:szCs w:val="20"/>
                <w:lang w:eastAsia="et-EE"/>
              </w:rPr>
              <w:t>:</w:t>
            </w:r>
          </w:p>
        </w:tc>
        <w:tc>
          <w:tcPr>
            <w:tcW w:w="3936" w:type="dxa"/>
            <w:shd w:val="clear" w:color="auto" w:fill="FFFFFF"/>
            <w:vAlign w:val="center"/>
          </w:tcPr>
          <w:p w14:paraId="3F3E8D7A" w14:textId="77777777" w:rsidR="0049661A" w:rsidRPr="00280EA4" w:rsidRDefault="0049661A"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EfTEN Real Estate Fund III AS</w:t>
            </w:r>
          </w:p>
        </w:tc>
      </w:tr>
      <w:tr w:rsidR="0049661A" w:rsidRPr="00280EA4" w14:paraId="59E43DA6" w14:textId="77777777" w:rsidTr="002213BD">
        <w:trPr>
          <w:trHeight w:val="138"/>
          <w:tblCellSpacing w:w="0" w:type="dxa"/>
        </w:trPr>
        <w:tc>
          <w:tcPr>
            <w:tcW w:w="3850" w:type="dxa"/>
            <w:shd w:val="clear" w:color="auto" w:fill="FFFFFF"/>
            <w:noWrap/>
            <w:vAlign w:val="center"/>
          </w:tcPr>
          <w:p w14:paraId="1EA6B9EE" w14:textId="77777777" w:rsidR="0049661A" w:rsidRPr="00280EA4" w:rsidRDefault="00DC6CC6"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Counterparty's securities account</w:t>
            </w:r>
            <w:r w:rsidR="0049661A" w:rsidRPr="00280EA4">
              <w:rPr>
                <w:rFonts w:ascii="Helvetica" w:hAnsi="Helvetica" w:cs="Helvetica"/>
                <w:color w:val="000000"/>
                <w:sz w:val="20"/>
                <w:szCs w:val="20"/>
                <w:lang w:eastAsia="et-EE"/>
              </w:rPr>
              <w:t>:</w:t>
            </w:r>
          </w:p>
        </w:tc>
        <w:tc>
          <w:tcPr>
            <w:tcW w:w="3936" w:type="dxa"/>
            <w:shd w:val="clear" w:color="auto" w:fill="FFFFFF"/>
            <w:vAlign w:val="center"/>
          </w:tcPr>
          <w:p w14:paraId="7D379F39" w14:textId="77777777" w:rsidR="0049661A" w:rsidRPr="00280EA4" w:rsidRDefault="0049661A"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99102006845</w:t>
            </w:r>
          </w:p>
        </w:tc>
      </w:tr>
      <w:tr w:rsidR="0049661A" w:rsidRPr="00280EA4" w14:paraId="2868A0EF" w14:textId="77777777" w:rsidTr="002213BD">
        <w:trPr>
          <w:trHeight w:val="149"/>
          <w:tblCellSpacing w:w="0" w:type="dxa"/>
        </w:trPr>
        <w:tc>
          <w:tcPr>
            <w:tcW w:w="3850" w:type="dxa"/>
            <w:shd w:val="clear" w:color="auto" w:fill="FFFFFF"/>
            <w:noWrap/>
            <w:vAlign w:val="center"/>
          </w:tcPr>
          <w:p w14:paraId="241DF188" w14:textId="77777777" w:rsidR="0049661A" w:rsidRPr="00280EA4" w:rsidRDefault="00DC6CC6"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Counterparty's securities account manager</w:t>
            </w:r>
            <w:r w:rsidR="0049661A" w:rsidRPr="00280EA4">
              <w:rPr>
                <w:rFonts w:ascii="Helvetica" w:hAnsi="Helvetica" w:cs="Helvetica"/>
                <w:color w:val="000000"/>
                <w:sz w:val="20"/>
                <w:szCs w:val="20"/>
                <w:lang w:eastAsia="et-EE"/>
              </w:rPr>
              <w:t>:</w:t>
            </w:r>
          </w:p>
        </w:tc>
        <w:tc>
          <w:tcPr>
            <w:tcW w:w="3936" w:type="dxa"/>
            <w:shd w:val="clear" w:color="auto" w:fill="FFFFFF"/>
            <w:vAlign w:val="center"/>
          </w:tcPr>
          <w:p w14:paraId="2BC7BB49" w14:textId="77777777" w:rsidR="0049661A" w:rsidRPr="00280EA4" w:rsidRDefault="0049661A"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Swedbank AS</w:t>
            </w:r>
          </w:p>
        </w:tc>
      </w:tr>
      <w:tr w:rsidR="0049661A" w:rsidRPr="00280EA4" w14:paraId="54AE984B" w14:textId="77777777" w:rsidTr="002213BD">
        <w:trPr>
          <w:trHeight w:val="138"/>
          <w:tblCellSpacing w:w="0" w:type="dxa"/>
        </w:trPr>
        <w:tc>
          <w:tcPr>
            <w:tcW w:w="3850" w:type="dxa"/>
            <w:shd w:val="clear" w:color="auto" w:fill="FFFFFF"/>
            <w:noWrap/>
            <w:vAlign w:val="center"/>
          </w:tcPr>
          <w:p w14:paraId="50F2BA41" w14:textId="77777777" w:rsidR="0049661A" w:rsidRPr="00280EA4" w:rsidRDefault="00DC6CC6"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Settlement date</w:t>
            </w:r>
            <w:r w:rsidR="0049661A" w:rsidRPr="00280EA4">
              <w:rPr>
                <w:rFonts w:ascii="Helvetica" w:hAnsi="Helvetica" w:cs="Helvetica"/>
                <w:color w:val="000000"/>
                <w:sz w:val="20"/>
                <w:szCs w:val="20"/>
                <w:lang w:eastAsia="et-EE"/>
              </w:rPr>
              <w:t>:</w:t>
            </w:r>
          </w:p>
        </w:tc>
        <w:tc>
          <w:tcPr>
            <w:tcW w:w="3936" w:type="dxa"/>
            <w:shd w:val="clear" w:color="auto" w:fill="FFFFFF"/>
            <w:vAlign w:val="center"/>
          </w:tcPr>
          <w:p w14:paraId="0AE029C1" w14:textId="00EC2D4B" w:rsidR="0049661A" w:rsidRPr="00280EA4" w:rsidRDefault="0049661A"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1</w:t>
            </w:r>
            <w:r w:rsidR="00421A15" w:rsidRPr="00280EA4">
              <w:rPr>
                <w:rFonts w:ascii="Helvetica" w:hAnsi="Helvetica" w:cs="Helvetica"/>
                <w:color w:val="000000"/>
                <w:sz w:val="20"/>
                <w:szCs w:val="20"/>
                <w:lang w:eastAsia="et-EE"/>
              </w:rPr>
              <w:t>0.06.2019</w:t>
            </w:r>
          </w:p>
        </w:tc>
      </w:tr>
      <w:tr w:rsidR="0049661A" w:rsidRPr="00280EA4" w14:paraId="15072FE1" w14:textId="77777777" w:rsidTr="002213BD">
        <w:trPr>
          <w:trHeight w:val="138"/>
          <w:tblCellSpacing w:w="0" w:type="dxa"/>
        </w:trPr>
        <w:tc>
          <w:tcPr>
            <w:tcW w:w="3850" w:type="dxa"/>
            <w:shd w:val="clear" w:color="auto" w:fill="FFFFFF"/>
            <w:noWrap/>
            <w:vAlign w:val="center"/>
          </w:tcPr>
          <w:p w14:paraId="49156484" w14:textId="77777777" w:rsidR="0049661A" w:rsidRPr="00280EA4" w:rsidRDefault="00DC6CC6"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Type of transaction</w:t>
            </w:r>
            <w:r w:rsidR="0049661A" w:rsidRPr="00280EA4">
              <w:rPr>
                <w:rFonts w:ascii="Helvetica" w:hAnsi="Helvetica" w:cs="Helvetica"/>
                <w:color w:val="000000"/>
                <w:sz w:val="20"/>
                <w:szCs w:val="20"/>
                <w:lang w:eastAsia="et-EE"/>
              </w:rPr>
              <w:t>:</w:t>
            </w:r>
          </w:p>
        </w:tc>
        <w:tc>
          <w:tcPr>
            <w:tcW w:w="3936" w:type="dxa"/>
            <w:shd w:val="clear" w:color="auto" w:fill="FFFFFF"/>
            <w:vAlign w:val="center"/>
          </w:tcPr>
          <w:p w14:paraId="54BDEBAD" w14:textId="0A767FE0" w:rsidR="0049661A" w:rsidRPr="00280EA4" w:rsidRDefault="00647E36"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w:t>
            </w:r>
            <w:proofErr w:type="gramStart"/>
            <w:r w:rsidR="00A97640" w:rsidRPr="00280EA4">
              <w:rPr>
                <w:rFonts w:ascii="Helvetica" w:hAnsi="Helvetica" w:cs="Helvetica"/>
                <w:color w:val="000000"/>
                <w:sz w:val="20"/>
                <w:szCs w:val="20"/>
                <w:lang w:eastAsia="et-EE"/>
              </w:rPr>
              <w:t>Purchase“</w:t>
            </w:r>
            <w:proofErr w:type="gramEnd"/>
          </w:p>
        </w:tc>
      </w:tr>
      <w:tr w:rsidR="0049661A" w:rsidRPr="00280EA4" w14:paraId="655D139D" w14:textId="77777777" w:rsidTr="002213BD">
        <w:trPr>
          <w:trHeight w:val="138"/>
          <w:tblCellSpacing w:w="0" w:type="dxa"/>
        </w:trPr>
        <w:tc>
          <w:tcPr>
            <w:tcW w:w="3850" w:type="dxa"/>
            <w:shd w:val="clear" w:color="auto" w:fill="FFFFFF"/>
            <w:noWrap/>
            <w:vAlign w:val="center"/>
          </w:tcPr>
          <w:p w14:paraId="4FC49105" w14:textId="77777777" w:rsidR="0049661A" w:rsidRPr="00280EA4" w:rsidRDefault="00DC6CC6"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Settlement type</w:t>
            </w:r>
            <w:r w:rsidR="0049661A" w:rsidRPr="00280EA4">
              <w:rPr>
                <w:rFonts w:ascii="Helvetica" w:hAnsi="Helvetica" w:cs="Helvetica"/>
                <w:color w:val="000000"/>
                <w:sz w:val="20"/>
                <w:szCs w:val="20"/>
                <w:lang w:eastAsia="et-EE"/>
              </w:rPr>
              <w:t>:</w:t>
            </w:r>
          </w:p>
        </w:tc>
        <w:tc>
          <w:tcPr>
            <w:tcW w:w="3936" w:type="dxa"/>
            <w:shd w:val="clear" w:color="auto" w:fill="FFFFFF"/>
            <w:vAlign w:val="center"/>
          </w:tcPr>
          <w:p w14:paraId="42FC5531" w14:textId="179E5DC9" w:rsidR="0049661A" w:rsidRPr="00280EA4" w:rsidRDefault="006E0E2D" w:rsidP="00381324">
            <w:pPr>
              <w:rPr>
                <w:rFonts w:ascii="Helvetica" w:hAnsi="Helvetica" w:cs="Helvetica"/>
                <w:color w:val="000000"/>
                <w:sz w:val="20"/>
                <w:szCs w:val="20"/>
                <w:lang w:eastAsia="et-EE"/>
              </w:rPr>
            </w:pPr>
            <w:r w:rsidRPr="00280EA4">
              <w:rPr>
                <w:rFonts w:ascii="Helvetica" w:hAnsi="Helvetica" w:cs="Helvetica"/>
                <w:color w:val="000000"/>
                <w:sz w:val="20"/>
                <w:szCs w:val="20"/>
                <w:lang w:eastAsia="et-EE"/>
              </w:rPr>
              <w:t>„</w:t>
            </w:r>
            <w:r w:rsidR="00C2311E" w:rsidRPr="00280EA4">
              <w:rPr>
                <w:rFonts w:ascii="Helvetica" w:hAnsi="Helvetica" w:cs="Helvetica"/>
                <w:sz w:val="20"/>
                <w:szCs w:val="20"/>
              </w:rPr>
              <w:t>D</w:t>
            </w:r>
            <w:r w:rsidR="00C2311E" w:rsidRPr="00280EA4">
              <w:rPr>
                <w:rFonts w:ascii="Helvetica" w:hAnsi="Helvetica" w:cs="Helvetica"/>
                <w:color w:val="000000"/>
                <w:sz w:val="20"/>
                <w:szCs w:val="20"/>
                <w:lang w:eastAsia="et-EE"/>
              </w:rPr>
              <w:t xml:space="preserve">elivery versus payment </w:t>
            </w:r>
            <w:r w:rsidR="0049661A" w:rsidRPr="00280EA4">
              <w:rPr>
                <w:rFonts w:ascii="Helvetica" w:hAnsi="Helvetica" w:cs="Helvetica"/>
                <w:color w:val="000000"/>
                <w:sz w:val="20"/>
                <w:szCs w:val="20"/>
                <w:lang w:eastAsia="et-EE"/>
              </w:rPr>
              <w:t>“</w:t>
            </w:r>
          </w:p>
        </w:tc>
      </w:tr>
    </w:tbl>
    <w:p w14:paraId="3EC64D92" w14:textId="77777777" w:rsidR="0049661A" w:rsidRPr="00280EA4" w:rsidRDefault="0049661A" w:rsidP="00D140CC">
      <w:pPr>
        <w:jc w:val="both"/>
        <w:rPr>
          <w:rFonts w:ascii="Helvetica" w:hAnsi="Helvetica" w:cs="Helvetica"/>
          <w:color w:val="000000"/>
          <w:sz w:val="20"/>
          <w:szCs w:val="20"/>
          <w:lang w:eastAsia="en-GB"/>
        </w:rPr>
      </w:pPr>
    </w:p>
    <w:p w14:paraId="589AA438" w14:textId="77777777" w:rsidR="0049661A" w:rsidRPr="00280EA4" w:rsidRDefault="0049661A" w:rsidP="00D140CC">
      <w:pPr>
        <w:jc w:val="both"/>
        <w:rPr>
          <w:rFonts w:ascii="Helvetica" w:hAnsi="Helvetica" w:cs="Helvetica"/>
          <w:color w:val="000000"/>
          <w:sz w:val="20"/>
          <w:szCs w:val="20"/>
          <w:lang w:eastAsia="en-GB"/>
        </w:rPr>
      </w:pPr>
    </w:p>
    <w:p w14:paraId="3F9ACB71" w14:textId="77777777" w:rsidR="0049661A" w:rsidRPr="00280EA4" w:rsidRDefault="0048091C" w:rsidP="00D140CC">
      <w:pPr>
        <w:widowControl w:val="0"/>
        <w:autoSpaceDE w:val="0"/>
        <w:autoSpaceDN w:val="0"/>
        <w:adjustRightInd w:val="0"/>
        <w:spacing w:after="240" w:line="220" w:lineRule="atLeast"/>
        <w:jc w:val="both"/>
        <w:rPr>
          <w:rFonts w:ascii="Helvetica" w:hAnsi="Helvetica" w:cs="Helvetica"/>
          <w:color w:val="000000"/>
          <w:sz w:val="20"/>
          <w:szCs w:val="20"/>
        </w:rPr>
      </w:pPr>
      <w:r w:rsidRPr="00280EA4">
        <w:rPr>
          <w:rFonts w:ascii="Helvetica" w:hAnsi="Helvetica" w:cs="Helvetica"/>
          <w:color w:val="000000"/>
          <w:sz w:val="20"/>
          <w:szCs w:val="20"/>
        </w:rPr>
        <w:t xml:space="preserve">Subscription orders to participate in the offer can only be presented in euros and the participant in the offer covers all the costs related to presenting the subscription order and fees payable. </w:t>
      </w:r>
    </w:p>
    <w:p w14:paraId="307B7263" w14:textId="77777777" w:rsidR="0049661A" w:rsidRPr="00280EA4" w:rsidRDefault="0049661A" w:rsidP="00D140CC">
      <w:pPr>
        <w:jc w:val="both"/>
        <w:rPr>
          <w:rFonts w:ascii="Helvetica" w:hAnsi="Helvetica" w:cs="Helvetica"/>
          <w:b/>
          <w:sz w:val="20"/>
          <w:szCs w:val="20"/>
          <w:lang w:eastAsia="en-GB"/>
        </w:rPr>
      </w:pPr>
      <w:r w:rsidRPr="00280EA4">
        <w:rPr>
          <w:rFonts w:ascii="Helvetica" w:hAnsi="Helvetica" w:cs="Helvetica"/>
          <w:b/>
          <w:color w:val="000000"/>
          <w:sz w:val="20"/>
          <w:szCs w:val="20"/>
          <w:lang w:eastAsia="en-GB"/>
        </w:rPr>
        <w:t xml:space="preserve">The time schedule of the offering of the </w:t>
      </w:r>
      <w:r w:rsidR="00DC6CC6" w:rsidRPr="00280EA4">
        <w:rPr>
          <w:rFonts w:ascii="Helvetica" w:hAnsi="Helvetica" w:cs="Helvetica"/>
          <w:b/>
          <w:color w:val="000000"/>
          <w:sz w:val="20"/>
          <w:szCs w:val="20"/>
          <w:lang w:eastAsia="en-GB"/>
        </w:rPr>
        <w:t xml:space="preserve">shares </w:t>
      </w:r>
      <w:r w:rsidRPr="00280EA4">
        <w:rPr>
          <w:rFonts w:ascii="Helvetica" w:hAnsi="Helvetica" w:cs="Helvetica"/>
          <w:b/>
          <w:color w:val="000000"/>
          <w:sz w:val="20"/>
          <w:szCs w:val="20"/>
          <w:lang w:eastAsia="en-GB"/>
        </w:rPr>
        <w:t>is as follows: </w:t>
      </w:r>
    </w:p>
    <w:tbl>
      <w:tblPr>
        <w:tblW w:w="8922"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2631"/>
        <w:gridCol w:w="6291"/>
      </w:tblGrid>
      <w:tr w:rsidR="00DC6CC6" w:rsidRPr="00280EA4" w14:paraId="137D212F" w14:textId="77777777" w:rsidTr="002213BD">
        <w:trPr>
          <w:trHeight w:val="268"/>
          <w:tblCellSpacing w:w="0" w:type="dxa"/>
        </w:trPr>
        <w:tc>
          <w:tcPr>
            <w:tcW w:w="2631" w:type="dxa"/>
            <w:shd w:val="clear" w:color="auto" w:fill="FFFFFF"/>
            <w:vAlign w:val="center"/>
            <w:hideMark/>
          </w:tcPr>
          <w:p w14:paraId="490988F0" w14:textId="1443DAC7" w:rsidR="00DC6CC6" w:rsidRPr="00280EA4" w:rsidRDefault="00421A15" w:rsidP="00D140CC">
            <w:pPr>
              <w:jc w:val="both"/>
              <w:rPr>
                <w:rFonts w:ascii="Helvetica" w:hAnsi="Helvetica" w:cs="Helvetica"/>
                <w:color w:val="000000"/>
                <w:sz w:val="20"/>
                <w:szCs w:val="20"/>
                <w:lang w:eastAsia="et-EE"/>
              </w:rPr>
            </w:pPr>
            <w:r w:rsidRPr="00280EA4">
              <w:rPr>
                <w:rFonts w:ascii="Helvetica" w:hAnsi="Helvetica" w:cs="Helvetica"/>
                <w:b/>
                <w:bCs/>
                <w:color w:val="000000"/>
                <w:sz w:val="20"/>
                <w:szCs w:val="20"/>
                <w:lang w:eastAsia="et-EE"/>
              </w:rPr>
              <w:lastRenderedPageBreak/>
              <w:t>1</w:t>
            </w:r>
            <w:r w:rsidR="00A150E7" w:rsidRPr="00280EA4">
              <w:rPr>
                <w:rFonts w:ascii="Helvetica" w:hAnsi="Helvetica" w:cs="Helvetica"/>
                <w:b/>
                <w:bCs/>
                <w:color w:val="000000"/>
                <w:sz w:val="20"/>
                <w:szCs w:val="20"/>
                <w:lang w:eastAsia="et-EE"/>
              </w:rPr>
              <w:t>4</w:t>
            </w:r>
            <w:r w:rsidR="00D140CC" w:rsidRPr="00280EA4">
              <w:rPr>
                <w:rFonts w:ascii="Helvetica" w:hAnsi="Helvetica" w:cs="Helvetica"/>
                <w:b/>
                <w:bCs/>
                <w:color w:val="000000"/>
                <w:sz w:val="20"/>
                <w:szCs w:val="20"/>
                <w:lang w:eastAsia="et-EE"/>
              </w:rPr>
              <w:t>.</w:t>
            </w:r>
            <w:r w:rsidRPr="00280EA4">
              <w:rPr>
                <w:rFonts w:ascii="Helvetica" w:hAnsi="Helvetica" w:cs="Helvetica"/>
                <w:b/>
                <w:bCs/>
                <w:color w:val="000000"/>
                <w:sz w:val="20"/>
                <w:szCs w:val="20"/>
                <w:lang w:eastAsia="et-EE"/>
              </w:rPr>
              <w:t>05</w:t>
            </w:r>
            <w:r w:rsidR="00D140CC" w:rsidRPr="00280EA4">
              <w:rPr>
                <w:rFonts w:ascii="Helvetica" w:hAnsi="Helvetica" w:cs="Helvetica"/>
                <w:b/>
                <w:bCs/>
                <w:color w:val="000000"/>
                <w:sz w:val="20"/>
                <w:szCs w:val="20"/>
                <w:lang w:eastAsia="et-EE"/>
              </w:rPr>
              <w:t>.20</w:t>
            </w:r>
            <w:r w:rsidR="00A150E7" w:rsidRPr="00280EA4">
              <w:rPr>
                <w:rFonts w:ascii="Helvetica" w:hAnsi="Helvetica" w:cs="Helvetica"/>
                <w:b/>
                <w:bCs/>
                <w:color w:val="000000"/>
                <w:sz w:val="20"/>
                <w:szCs w:val="20"/>
                <w:lang w:eastAsia="et-EE"/>
              </w:rPr>
              <w:t>21</w:t>
            </w:r>
            <w:r w:rsidR="00D140CC" w:rsidRPr="00280EA4">
              <w:rPr>
                <w:rFonts w:ascii="Helvetica" w:hAnsi="Helvetica" w:cs="Helvetica"/>
                <w:b/>
                <w:bCs/>
                <w:color w:val="000000"/>
                <w:sz w:val="20"/>
                <w:szCs w:val="20"/>
                <w:lang w:eastAsia="et-EE"/>
              </w:rPr>
              <w:t xml:space="preserve"> at</w:t>
            </w:r>
            <w:r w:rsidR="00DC6CC6" w:rsidRPr="00280EA4">
              <w:rPr>
                <w:rFonts w:ascii="Helvetica" w:hAnsi="Helvetica" w:cs="Helvetica"/>
                <w:b/>
                <w:bCs/>
                <w:color w:val="000000"/>
                <w:sz w:val="20"/>
                <w:szCs w:val="20"/>
                <w:lang w:eastAsia="et-EE"/>
              </w:rPr>
              <w:t xml:space="preserve"> 09:00</w:t>
            </w:r>
            <w:r w:rsidR="00A150E7" w:rsidRPr="00280EA4">
              <w:rPr>
                <w:rFonts w:ascii="Helvetica" w:hAnsi="Helvetica" w:cs="Helvetica"/>
                <w:b/>
                <w:bCs/>
                <w:color w:val="000000"/>
                <w:sz w:val="20"/>
                <w:szCs w:val="20"/>
                <w:lang w:eastAsia="et-EE"/>
              </w:rPr>
              <w:t xml:space="preserve"> (EET)</w:t>
            </w:r>
            <w:r w:rsidR="00DC6CC6" w:rsidRPr="00280EA4">
              <w:rPr>
                <w:rFonts w:ascii="Helvetica" w:hAnsi="Helvetica" w:cs="Helvetica"/>
                <w:b/>
                <w:bCs/>
                <w:color w:val="000000"/>
                <w:sz w:val="20"/>
                <w:szCs w:val="20"/>
                <w:lang w:eastAsia="et-EE"/>
              </w:rPr>
              <w:t xml:space="preserve"> </w:t>
            </w:r>
          </w:p>
        </w:tc>
        <w:tc>
          <w:tcPr>
            <w:tcW w:w="6291" w:type="dxa"/>
            <w:shd w:val="clear" w:color="auto" w:fill="FFFFFF"/>
            <w:vAlign w:val="center"/>
            <w:hideMark/>
          </w:tcPr>
          <w:p w14:paraId="0DD730F0" w14:textId="77777777" w:rsidR="00DC6CC6" w:rsidRPr="00280EA4" w:rsidRDefault="00DC6CC6" w:rsidP="00D140CC">
            <w:pPr>
              <w:jc w:val="both"/>
              <w:rPr>
                <w:rFonts w:ascii="Helvetica" w:hAnsi="Helvetica" w:cs="Helvetica"/>
                <w:color w:val="000000"/>
                <w:sz w:val="20"/>
                <w:szCs w:val="20"/>
                <w:lang w:eastAsia="et-EE"/>
              </w:rPr>
            </w:pPr>
            <w:r w:rsidRPr="00280EA4">
              <w:rPr>
                <w:rFonts w:ascii="Helvetica" w:hAnsi="Helvetica" w:cs="Helvetica"/>
                <w:color w:val="000000"/>
                <w:sz w:val="20"/>
                <w:szCs w:val="20"/>
                <w:lang w:eastAsia="et-EE"/>
              </w:rPr>
              <w:t>Start of the subscription period of the shares</w:t>
            </w:r>
          </w:p>
        </w:tc>
      </w:tr>
      <w:tr w:rsidR="00DC6CC6" w:rsidRPr="00280EA4" w14:paraId="0580D291" w14:textId="77777777" w:rsidTr="002213BD">
        <w:trPr>
          <w:trHeight w:val="268"/>
          <w:tblCellSpacing w:w="0" w:type="dxa"/>
        </w:trPr>
        <w:tc>
          <w:tcPr>
            <w:tcW w:w="2631" w:type="dxa"/>
            <w:shd w:val="clear" w:color="auto" w:fill="FFFFFF"/>
            <w:vAlign w:val="center"/>
            <w:hideMark/>
          </w:tcPr>
          <w:p w14:paraId="426ED22E" w14:textId="3122E487" w:rsidR="00DC6CC6" w:rsidRPr="00280EA4" w:rsidRDefault="00421A15" w:rsidP="00D140CC">
            <w:pPr>
              <w:jc w:val="both"/>
              <w:rPr>
                <w:rFonts w:ascii="Helvetica" w:hAnsi="Helvetica" w:cs="Helvetica"/>
                <w:color w:val="000000"/>
                <w:sz w:val="20"/>
                <w:szCs w:val="20"/>
                <w:lang w:eastAsia="et-EE"/>
              </w:rPr>
            </w:pPr>
            <w:r w:rsidRPr="00280EA4">
              <w:rPr>
                <w:rFonts w:ascii="Helvetica" w:hAnsi="Helvetica" w:cs="Helvetica"/>
                <w:b/>
                <w:bCs/>
                <w:color w:val="000000"/>
                <w:sz w:val="20"/>
                <w:szCs w:val="20"/>
                <w:lang w:eastAsia="et-EE"/>
              </w:rPr>
              <w:t>31.05.20</w:t>
            </w:r>
            <w:r w:rsidR="00A150E7" w:rsidRPr="00280EA4">
              <w:rPr>
                <w:rFonts w:ascii="Helvetica" w:hAnsi="Helvetica" w:cs="Helvetica"/>
                <w:b/>
                <w:bCs/>
                <w:color w:val="000000"/>
                <w:sz w:val="20"/>
                <w:szCs w:val="20"/>
                <w:lang w:eastAsia="et-EE"/>
              </w:rPr>
              <w:t>21</w:t>
            </w:r>
            <w:r w:rsidRPr="00280EA4">
              <w:rPr>
                <w:rFonts w:ascii="Helvetica" w:hAnsi="Helvetica" w:cs="Helvetica"/>
                <w:b/>
                <w:bCs/>
                <w:color w:val="000000"/>
                <w:sz w:val="20"/>
                <w:szCs w:val="20"/>
                <w:lang w:eastAsia="et-EE"/>
              </w:rPr>
              <w:t xml:space="preserve"> </w:t>
            </w:r>
            <w:r w:rsidR="00D140CC" w:rsidRPr="00280EA4">
              <w:rPr>
                <w:rFonts w:ascii="Helvetica" w:hAnsi="Helvetica" w:cs="Helvetica"/>
                <w:b/>
                <w:bCs/>
                <w:color w:val="000000"/>
                <w:sz w:val="20"/>
                <w:szCs w:val="20"/>
                <w:lang w:eastAsia="et-EE"/>
              </w:rPr>
              <w:t>at</w:t>
            </w:r>
            <w:r w:rsidR="00DC6CC6" w:rsidRPr="00280EA4">
              <w:rPr>
                <w:rFonts w:ascii="Helvetica" w:hAnsi="Helvetica" w:cs="Helvetica"/>
                <w:b/>
                <w:bCs/>
                <w:color w:val="000000"/>
                <w:sz w:val="20"/>
                <w:szCs w:val="20"/>
                <w:lang w:eastAsia="et-EE"/>
              </w:rPr>
              <w:t xml:space="preserve"> 16.00</w:t>
            </w:r>
            <w:r w:rsidR="00A150E7" w:rsidRPr="00280EA4">
              <w:rPr>
                <w:rFonts w:ascii="Helvetica" w:hAnsi="Helvetica" w:cs="Helvetica"/>
                <w:b/>
                <w:bCs/>
                <w:color w:val="000000"/>
                <w:sz w:val="20"/>
                <w:szCs w:val="20"/>
                <w:lang w:eastAsia="et-EE"/>
              </w:rPr>
              <w:t xml:space="preserve"> (EET)</w:t>
            </w:r>
          </w:p>
        </w:tc>
        <w:tc>
          <w:tcPr>
            <w:tcW w:w="6291" w:type="dxa"/>
            <w:shd w:val="clear" w:color="auto" w:fill="FFFFFF"/>
            <w:vAlign w:val="center"/>
            <w:hideMark/>
          </w:tcPr>
          <w:p w14:paraId="3081FAD7" w14:textId="77777777" w:rsidR="00DC6CC6" w:rsidRPr="00280EA4" w:rsidRDefault="00DC6CC6" w:rsidP="00D140CC">
            <w:pPr>
              <w:jc w:val="both"/>
              <w:rPr>
                <w:rFonts w:ascii="Helvetica" w:hAnsi="Helvetica" w:cs="Helvetica"/>
                <w:color w:val="000000"/>
                <w:sz w:val="20"/>
                <w:szCs w:val="20"/>
                <w:lang w:eastAsia="et-EE"/>
              </w:rPr>
            </w:pPr>
            <w:r w:rsidRPr="00280EA4">
              <w:rPr>
                <w:rFonts w:ascii="Helvetica" w:hAnsi="Helvetica" w:cs="Helvetica"/>
                <w:color w:val="000000"/>
                <w:sz w:val="20"/>
                <w:szCs w:val="20"/>
                <w:lang w:eastAsia="et-EE"/>
              </w:rPr>
              <w:t>End of the subscription period of the shares</w:t>
            </w:r>
          </w:p>
        </w:tc>
      </w:tr>
      <w:tr w:rsidR="00DC6CC6" w:rsidRPr="00280EA4" w14:paraId="5F141049" w14:textId="77777777" w:rsidTr="002213BD">
        <w:trPr>
          <w:trHeight w:val="268"/>
          <w:tblCellSpacing w:w="0" w:type="dxa"/>
        </w:trPr>
        <w:tc>
          <w:tcPr>
            <w:tcW w:w="2631" w:type="dxa"/>
            <w:shd w:val="clear" w:color="auto" w:fill="FFFFFF"/>
            <w:vAlign w:val="center"/>
            <w:hideMark/>
          </w:tcPr>
          <w:p w14:paraId="3A1AAA97" w14:textId="0D326259" w:rsidR="00DC6CC6" w:rsidRPr="00280EA4" w:rsidRDefault="00A97A17" w:rsidP="00D140CC">
            <w:pPr>
              <w:jc w:val="both"/>
              <w:rPr>
                <w:rFonts w:ascii="Helvetica" w:hAnsi="Helvetica" w:cs="Helvetica"/>
                <w:color w:val="000000"/>
                <w:sz w:val="20"/>
                <w:szCs w:val="20"/>
                <w:lang w:eastAsia="et-EE"/>
              </w:rPr>
            </w:pPr>
            <w:r w:rsidRPr="00280EA4">
              <w:rPr>
                <w:rFonts w:ascii="Helvetica" w:hAnsi="Helvetica" w:cs="Helvetica"/>
                <w:b/>
                <w:bCs/>
                <w:color w:val="000000"/>
                <w:sz w:val="20"/>
                <w:szCs w:val="20"/>
                <w:lang w:eastAsia="et-EE"/>
              </w:rPr>
              <w:t>0</w:t>
            </w:r>
            <w:r w:rsidR="00A150E7" w:rsidRPr="00280EA4">
              <w:rPr>
                <w:rFonts w:ascii="Helvetica" w:hAnsi="Helvetica" w:cs="Helvetica"/>
                <w:b/>
                <w:bCs/>
                <w:color w:val="000000"/>
                <w:sz w:val="20"/>
                <w:szCs w:val="20"/>
                <w:lang w:eastAsia="et-EE"/>
              </w:rPr>
              <w:t>1</w:t>
            </w:r>
            <w:r w:rsidR="00421A15" w:rsidRPr="00280EA4">
              <w:rPr>
                <w:rFonts w:ascii="Helvetica" w:hAnsi="Helvetica" w:cs="Helvetica"/>
                <w:b/>
                <w:bCs/>
                <w:color w:val="000000"/>
                <w:sz w:val="20"/>
                <w:szCs w:val="20"/>
                <w:lang w:eastAsia="et-EE"/>
              </w:rPr>
              <w:t>.06.20</w:t>
            </w:r>
            <w:r w:rsidR="00A150E7" w:rsidRPr="00280EA4">
              <w:rPr>
                <w:rFonts w:ascii="Helvetica" w:hAnsi="Helvetica" w:cs="Helvetica"/>
                <w:b/>
                <w:bCs/>
                <w:color w:val="000000"/>
                <w:sz w:val="20"/>
                <w:szCs w:val="20"/>
                <w:lang w:eastAsia="et-EE"/>
              </w:rPr>
              <w:t>21</w:t>
            </w:r>
            <w:r w:rsidR="00DC6CC6" w:rsidRPr="00280EA4">
              <w:rPr>
                <w:rFonts w:ascii="Helvetica" w:hAnsi="Helvetica" w:cs="Helvetica"/>
                <w:b/>
                <w:bCs/>
                <w:color w:val="000000"/>
                <w:sz w:val="20"/>
                <w:szCs w:val="20"/>
                <w:lang w:eastAsia="et-EE"/>
              </w:rPr>
              <w:t xml:space="preserve"> </w:t>
            </w:r>
          </w:p>
        </w:tc>
        <w:tc>
          <w:tcPr>
            <w:tcW w:w="6291" w:type="dxa"/>
            <w:shd w:val="clear" w:color="auto" w:fill="FFFFFF"/>
            <w:vAlign w:val="center"/>
            <w:hideMark/>
          </w:tcPr>
          <w:p w14:paraId="2C0F3940" w14:textId="628EDD12" w:rsidR="00DC6CC6" w:rsidRPr="00280EA4" w:rsidRDefault="00A97640" w:rsidP="00D140CC">
            <w:pPr>
              <w:jc w:val="both"/>
              <w:rPr>
                <w:rFonts w:ascii="Helvetica" w:hAnsi="Helvetica" w:cs="Helvetica"/>
                <w:color w:val="000000"/>
                <w:sz w:val="20"/>
                <w:szCs w:val="20"/>
                <w:lang w:eastAsia="et-EE"/>
              </w:rPr>
            </w:pPr>
            <w:r w:rsidRPr="00280EA4">
              <w:rPr>
                <w:rFonts w:ascii="Helvetica" w:hAnsi="Helvetica" w:cs="Helvetica"/>
                <w:color w:val="000000"/>
                <w:sz w:val="20"/>
                <w:szCs w:val="20"/>
                <w:lang w:eastAsia="et-EE"/>
              </w:rPr>
              <w:t>Announcement of the initial results of the Offering</w:t>
            </w:r>
          </w:p>
        </w:tc>
      </w:tr>
      <w:tr w:rsidR="00DC6CC6" w:rsidRPr="00280EA4" w14:paraId="2889C70C" w14:textId="77777777" w:rsidTr="002213BD">
        <w:trPr>
          <w:trHeight w:val="537"/>
          <w:tblCellSpacing w:w="0" w:type="dxa"/>
        </w:trPr>
        <w:tc>
          <w:tcPr>
            <w:tcW w:w="2631" w:type="dxa"/>
            <w:shd w:val="clear" w:color="auto" w:fill="FFFFFF"/>
            <w:vAlign w:val="center"/>
            <w:hideMark/>
          </w:tcPr>
          <w:p w14:paraId="1FC197AA" w14:textId="7A96B811" w:rsidR="00DC6CC6" w:rsidRPr="00280EA4" w:rsidRDefault="00DC6CC6" w:rsidP="00D140CC">
            <w:pPr>
              <w:jc w:val="both"/>
              <w:rPr>
                <w:rFonts w:ascii="Helvetica" w:hAnsi="Helvetica" w:cs="Helvetica"/>
                <w:color w:val="000000"/>
                <w:sz w:val="20"/>
                <w:szCs w:val="20"/>
                <w:lang w:eastAsia="et-EE"/>
              </w:rPr>
            </w:pPr>
            <w:r w:rsidRPr="00280EA4">
              <w:rPr>
                <w:rFonts w:ascii="Helvetica" w:hAnsi="Helvetica" w:cs="Helvetica"/>
                <w:b/>
                <w:bCs/>
                <w:color w:val="000000"/>
                <w:sz w:val="20"/>
                <w:szCs w:val="20"/>
                <w:lang w:eastAsia="et-EE"/>
              </w:rPr>
              <w:t>1</w:t>
            </w:r>
            <w:r w:rsidR="00A97A17" w:rsidRPr="00280EA4">
              <w:rPr>
                <w:rFonts w:ascii="Helvetica" w:hAnsi="Helvetica" w:cs="Helvetica"/>
                <w:b/>
                <w:bCs/>
                <w:color w:val="000000"/>
                <w:sz w:val="20"/>
                <w:szCs w:val="20"/>
                <w:lang w:eastAsia="et-EE"/>
              </w:rPr>
              <w:t>0</w:t>
            </w:r>
            <w:r w:rsidRPr="00280EA4">
              <w:rPr>
                <w:rFonts w:ascii="Helvetica" w:hAnsi="Helvetica" w:cs="Helvetica"/>
                <w:b/>
                <w:bCs/>
                <w:color w:val="000000"/>
                <w:sz w:val="20"/>
                <w:szCs w:val="20"/>
                <w:lang w:eastAsia="et-EE"/>
              </w:rPr>
              <w:t>.</w:t>
            </w:r>
            <w:r w:rsidR="00421A15" w:rsidRPr="00280EA4">
              <w:rPr>
                <w:rFonts w:ascii="Helvetica" w:hAnsi="Helvetica" w:cs="Helvetica"/>
                <w:b/>
                <w:bCs/>
                <w:color w:val="000000"/>
                <w:sz w:val="20"/>
                <w:szCs w:val="20"/>
                <w:lang w:eastAsia="et-EE"/>
              </w:rPr>
              <w:t>06</w:t>
            </w:r>
            <w:r w:rsidRPr="00280EA4">
              <w:rPr>
                <w:rFonts w:ascii="Helvetica" w:hAnsi="Helvetica" w:cs="Helvetica"/>
                <w:b/>
                <w:bCs/>
                <w:color w:val="000000"/>
                <w:sz w:val="20"/>
                <w:szCs w:val="20"/>
                <w:lang w:eastAsia="et-EE"/>
              </w:rPr>
              <w:t>.20</w:t>
            </w:r>
            <w:r w:rsidR="00A97640" w:rsidRPr="00280EA4">
              <w:rPr>
                <w:rFonts w:ascii="Helvetica" w:hAnsi="Helvetica" w:cs="Helvetica"/>
                <w:b/>
                <w:bCs/>
                <w:color w:val="000000"/>
                <w:sz w:val="20"/>
                <w:szCs w:val="20"/>
                <w:lang w:eastAsia="et-EE"/>
              </w:rPr>
              <w:t>21</w:t>
            </w:r>
            <w:r w:rsidRPr="00280EA4">
              <w:rPr>
                <w:rFonts w:ascii="Helvetica" w:hAnsi="Helvetica" w:cs="Helvetica"/>
                <w:b/>
                <w:bCs/>
                <w:color w:val="000000"/>
                <w:sz w:val="20"/>
                <w:szCs w:val="20"/>
                <w:lang w:eastAsia="et-EE"/>
              </w:rPr>
              <w:t xml:space="preserve"> </w:t>
            </w:r>
          </w:p>
        </w:tc>
        <w:tc>
          <w:tcPr>
            <w:tcW w:w="6291" w:type="dxa"/>
            <w:shd w:val="clear" w:color="auto" w:fill="FFFFFF"/>
            <w:vAlign w:val="center"/>
            <w:hideMark/>
          </w:tcPr>
          <w:p w14:paraId="60E411BF" w14:textId="4DDDC64E" w:rsidR="00DC6CC6" w:rsidRPr="00280EA4" w:rsidRDefault="00A97640" w:rsidP="00D140CC">
            <w:pPr>
              <w:jc w:val="both"/>
              <w:rPr>
                <w:rFonts w:ascii="Helvetica" w:hAnsi="Helvetica" w:cs="Helvetica"/>
                <w:color w:val="000000"/>
                <w:sz w:val="20"/>
                <w:szCs w:val="20"/>
                <w:lang w:eastAsia="et-EE"/>
              </w:rPr>
            </w:pPr>
            <w:r w:rsidRPr="00280EA4">
              <w:rPr>
                <w:rFonts w:ascii="Helvetica" w:hAnsi="Helvetica" w:cs="Helvetica"/>
                <w:color w:val="000000"/>
                <w:sz w:val="20"/>
                <w:szCs w:val="20"/>
                <w:lang w:eastAsia="et-EE"/>
              </w:rPr>
              <w:t>Settlement of the Offering (</w:t>
            </w:r>
            <w:r w:rsidR="00DC6CC6" w:rsidRPr="00280EA4">
              <w:rPr>
                <w:rFonts w:ascii="Helvetica" w:hAnsi="Helvetica" w:cs="Helvetica"/>
                <w:color w:val="000000"/>
                <w:sz w:val="20"/>
                <w:szCs w:val="20"/>
                <w:lang w:eastAsia="et-EE"/>
              </w:rPr>
              <w:t>Transfer of the shares to investors’ securities accounts</w:t>
            </w:r>
            <w:r w:rsidRPr="00280EA4">
              <w:rPr>
                <w:rFonts w:ascii="Helvetica" w:hAnsi="Helvetica" w:cs="Helvetica"/>
                <w:color w:val="000000"/>
                <w:sz w:val="20"/>
                <w:szCs w:val="20"/>
                <w:lang w:eastAsia="et-EE"/>
              </w:rPr>
              <w:t>)</w:t>
            </w:r>
          </w:p>
        </w:tc>
      </w:tr>
      <w:tr w:rsidR="00DC6CC6" w:rsidRPr="00280EA4" w14:paraId="091A038C" w14:textId="77777777" w:rsidTr="002213BD">
        <w:trPr>
          <w:trHeight w:val="537"/>
          <w:tblCellSpacing w:w="0" w:type="dxa"/>
        </w:trPr>
        <w:tc>
          <w:tcPr>
            <w:tcW w:w="2631" w:type="dxa"/>
            <w:shd w:val="clear" w:color="auto" w:fill="FFFFFF"/>
            <w:vAlign w:val="center"/>
            <w:hideMark/>
          </w:tcPr>
          <w:p w14:paraId="48A5D819" w14:textId="50D88A7F" w:rsidR="00DC6CC6" w:rsidRPr="00280EA4" w:rsidRDefault="00DC6CC6" w:rsidP="00D140CC">
            <w:pPr>
              <w:jc w:val="both"/>
              <w:rPr>
                <w:rFonts w:ascii="Helvetica" w:hAnsi="Helvetica" w:cs="Helvetica"/>
                <w:color w:val="000000"/>
                <w:sz w:val="20"/>
                <w:szCs w:val="20"/>
                <w:lang w:eastAsia="et-EE"/>
              </w:rPr>
            </w:pPr>
            <w:r w:rsidRPr="00280EA4">
              <w:rPr>
                <w:rFonts w:ascii="Helvetica" w:hAnsi="Helvetica" w:cs="Helvetica"/>
                <w:b/>
                <w:bCs/>
                <w:color w:val="000000"/>
                <w:sz w:val="20"/>
                <w:szCs w:val="20"/>
                <w:lang w:eastAsia="et-EE"/>
              </w:rPr>
              <w:t xml:space="preserve">On or about </w:t>
            </w:r>
            <w:r w:rsidR="00A97A17" w:rsidRPr="00280EA4">
              <w:rPr>
                <w:rFonts w:ascii="Helvetica" w:hAnsi="Helvetica" w:cs="Helvetica"/>
                <w:b/>
                <w:bCs/>
                <w:color w:val="000000"/>
                <w:sz w:val="20"/>
                <w:szCs w:val="20"/>
                <w:lang w:eastAsia="et-EE"/>
              </w:rPr>
              <w:t>1</w:t>
            </w:r>
            <w:r w:rsidR="00A97640" w:rsidRPr="00280EA4">
              <w:rPr>
                <w:rFonts w:ascii="Helvetica" w:hAnsi="Helvetica" w:cs="Helvetica"/>
                <w:b/>
                <w:bCs/>
                <w:color w:val="000000"/>
                <w:sz w:val="20"/>
                <w:szCs w:val="20"/>
                <w:lang w:eastAsia="et-EE"/>
              </w:rPr>
              <w:t>7</w:t>
            </w:r>
            <w:r w:rsidR="00A97A17" w:rsidRPr="00280EA4">
              <w:rPr>
                <w:rFonts w:ascii="Helvetica" w:hAnsi="Helvetica" w:cs="Helvetica"/>
                <w:b/>
                <w:bCs/>
                <w:color w:val="000000"/>
                <w:sz w:val="20"/>
                <w:szCs w:val="20"/>
                <w:lang w:eastAsia="et-EE"/>
              </w:rPr>
              <w:t>.06.20</w:t>
            </w:r>
            <w:r w:rsidR="00A97640" w:rsidRPr="00280EA4">
              <w:rPr>
                <w:rFonts w:ascii="Helvetica" w:hAnsi="Helvetica" w:cs="Helvetica"/>
                <w:b/>
                <w:bCs/>
                <w:color w:val="000000"/>
                <w:sz w:val="20"/>
                <w:szCs w:val="20"/>
                <w:lang w:eastAsia="et-EE"/>
              </w:rPr>
              <w:t>21</w:t>
            </w:r>
            <w:r w:rsidRPr="00280EA4">
              <w:rPr>
                <w:rFonts w:ascii="Helvetica" w:hAnsi="Helvetica" w:cs="Helvetica"/>
                <w:b/>
                <w:bCs/>
                <w:color w:val="000000"/>
                <w:sz w:val="20"/>
                <w:szCs w:val="20"/>
                <w:lang w:eastAsia="et-EE"/>
              </w:rPr>
              <w:t xml:space="preserve"> </w:t>
            </w:r>
          </w:p>
        </w:tc>
        <w:tc>
          <w:tcPr>
            <w:tcW w:w="6291" w:type="dxa"/>
            <w:shd w:val="clear" w:color="auto" w:fill="FFFFFF"/>
            <w:vAlign w:val="center"/>
            <w:hideMark/>
          </w:tcPr>
          <w:p w14:paraId="1D600E87" w14:textId="77777777" w:rsidR="00DC6CC6" w:rsidRPr="00280EA4" w:rsidRDefault="006344B9" w:rsidP="00D140CC">
            <w:pPr>
              <w:jc w:val="both"/>
              <w:rPr>
                <w:rFonts w:ascii="Helvetica" w:hAnsi="Helvetica" w:cs="Helvetica"/>
                <w:color w:val="000000"/>
                <w:sz w:val="20"/>
                <w:szCs w:val="20"/>
                <w:lang w:eastAsia="et-EE"/>
              </w:rPr>
            </w:pPr>
            <w:r w:rsidRPr="00280EA4">
              <w:rPr>
                <w:rFonts w:ascii="Helvetica" w:hAnsi="Helvetica" w:cs="Helvetica"/>
                <w:color w:val="000000"/>
                <w:sz w:val="20"/>
                <w:szCs w:val="20"/>
                <w:lang w:eastAsia="et-EE"/>
              </w:rPr>
              <w:t>The increase of the share capital is presumably registered in the Commercial Register</w:t>
            </w:r>
          </w:p>
        </w:tc>
      </w:tr>
      <w:tr w:rsidR="00DC6CC6" w:rsidRPr="00280EA4" w14:paraId="21F62790" w14:textId="77777777" w:rsidTr="002213BD">
        <w:trPr>
          <w:trHeight w:val="825"/>
          <w:tblCellSpacing w:w="0" w:type="dxa"/>
        </w:trPr>
        <w:tc>
          <w:tcPr>
            <w:tcW w:w="2631" w:type="dxa"/>
            <w:shd w:val="clear" w:color="auto" w:fill="FFFFFF"/>
            <w:vAlign w:val="center"/>
            <w:hideMark/>
          </w:tcPr>
          <w:p w14:paraId="4606D5AB" w14:textId="016595D4" w:rsidR="00DC6CC6" w:rsidRPr="00280EA4" w:rsidRDefault="006344B9" w:rsidP="00D140CC">
            <w:pPr>
              <w:jc w:val="both"/>
              <w:rPr>
                <w:rFonts w:ascii="Helvetica" w:hAnsi="Helvetica" w:cs="Helvetica"/>
                <w:b/>
                <w:bCs/>
                <w:color w:val="000000"/>
                <w:sz w:val="20"/>
                <w:szCs w:val="20"/>
                <w:lang w:eastAsia="et-EE"/>
              </w:rPr>
            </w:pPr>
            <w:r w:rsidRPr="00280EA4">
              <w:rPr>
                <w:rFonts w:ascii="Helvetica" w:hAnsi="Helvetica" w:cs="Helvetica"/>
                <w:b/>
                <w:bCs/>
                <w:color w:val="000000"/>
                <w:sz w:val="20"/>
                <w:szCs w:val="20"/>
                <w:lang w:eastAsia="et-EE"/>
              </w:rPr>
              <w:t xml:space="preserve">On or about </w:t>
            </w:r>
            <w:r w:rsidR="00A97A17" w:rsidRPr="00280EA4">
              <w:rPr>
                <w:rFonts w:ascii="Helvetica" w:hAnsi="Helvetica" w:cs="Helvetica"/>
                <w:b/>
                <w:bCs/>
                <w:color w:val="000000"/>
                <w:sz w:val="20"/>
                <w:szCs w:val="20"/>
                <w:lang w:eastAsia="et-EE"/>
              </w:rPr>
              <w:t>2</w:t>
            </w:r>
            <w:r w:rsidR="00A97640" w:rsidRPr="00280EA4">
              <w:rPr>
                <w:rFonts w:ascii="Helvetica" w:hAnsi="Helvetica" w:cs="Helvetica"/>
                <w:b/>
                <w:bCs/>
                <w:color w:val="000000"/>
                <w:sz w:val="20"/>
                <w:szCs w:val="20"/>
                <w:lang w:eastAsia="et-EE"/>
              </w:rPr>
              <w:t>2</w:t>
            </w:r>
            <w:r w:rsidR="00DC6CC6" w:rsidRPr="00280EA4">
              <w:rPr>
                <w:rFonts w:ascii="Helvetica" w:hAnsi="Helvetica" w:cs="Helvetica"/>
                <w:b/>
                <w:bCs/>
                <w:color w:val="000000"/>
                <w:sz w:val="20"/>
                <w:szCs w:val="20"/>
                <w:lang w:eastAsia="et-EE"/>
              </w:rPr>
              <w:t>.</w:t>
            </w:r>
            <w:r w:rsidR="00A97A17" w:rsidRPr="00280EA4">
              <w:rPr>
                <w:rFonts w:ascii="Helvetica" w:hAnsi="Helvetica" w:cs="Helvetica"/>
                <w:b/>
                <w:bCs/>
                <w:color w:val="000000"/>
                <w:sz w:val="20"/>
                <w:szCs w:val="20"/>
                <w:lang w:eastAsia="et-EE"/>
              </w:rPr>
              <w:t>06</w:t>
            </w:r>
            <w:r w:rsidR="00DC6CC6" w:rsidRPr="00280EA4">
              <w:rPr>
                <w:rFonts w:ascii="Helvetica" w:hAnsi="Helvetica" w:cs="Helvetica"/>
                <w:b/>
                <w:bCs/>
                <w:color w:val="000000"/>
                <w:sz w:val="20"/>
                <w:szCs w:val="20"/>
                <w:lang w:eastAsia="et-EE"/>
              </w:rPr>
              <w:t>.20</w:t>
            </w:r>
            <w:r w:rsidR="00A97640" w:rsidRPr="00280EA4">
              <w:rPr>
                <w:rFonts w:ascii="Helvetica" w:hAnsi="Helvetica" w:cs="Helvetica"/>
                <w:b/>
                <w:bCs/>
                <w:color w:val="000000"/>
                <w:sz w:val="20"/>
                <w:szCs w:val="20"/>
                <w:lang w:eastAsia="et-EE"/>
              </w:rPr>
              <w:t>21</w:t>
            </w:r>
            <w:r w:rsidR="00DC6CC6" w:rsidRPr="00280EA4">
              <w:rPr>
                <w:rFonts w:ascii="Helvetica" w:hAnsi="Helvetica" w:cs="Helvetica"/>
                <w:b/>
                <w:bCs/>
                <w:color w:val="000000"/>
                <w:sz w:val="20"/>
                <w:szCs w:val="20"/>
                <w:lang w:eastAsia="et-EE"/>
              </w:rPr>
              <w:t xml:space="preserve"> </w:t>
            </w:r>
          </w:p>
        </w:tc>
        <w:tc>
          <w:tcPr>
            <w:tcW w:w="6291" w:type="dxa"/>
            <w:shd w:val="clear" w:color="auto" w:fill="FFFFFF"/>
            <w:vAlign w:val="center"/>
            <w:hideMark/>
          </w:tcPr>
          <w:p w14:paraId="0F3FE9B9" w14:textId="77777777" w:rsidR="00DC6CC6" w:rsidRPr="00280EA4" w:rsidRDefault="006344B9" w:rsidP="00D140CC">
            <w:pPr>
              <w:jc w:val="both"/>
              <w:rPr>
                <w:rFonts w:ascii="Helvetica" w:hAnsi="Helvetica" w:cs="Helvetica"/>
                <w:color w:val="000000"/>
                <w:sz w:val="20"/>
                <w:szCs w:val="20"/>
                <w:lang w:eastAsia="et-EE"/>
              </w:rPr>
            </w:pPr>
            <w:r w:rsidRPr="00280EA4">
              <w:rPr>
                <w:rFonts w:ascii="Helvetica" w:hAnsi="Helvetica" w:cs="Helvetica"/>
                <w:color w:val="000000"/>
                <w:sz w:val="20"/>
                <w:szCs w:val="20"/>
                <w:lang w:eastAsia="et-EE"/>
              </w:rPr>
              <w:t>Expected listing of the shares and admission to trading on the regulated market operated by Nasdaq Tallinn AS (on Baltic Main List</w:t>
            </w:r>
            <w:r w:rsidR="00DC6CC6" w:rsidRPr="00280EA4">
              <w:rPr>
                <w:rFonts w:ascii="Helvetica" w:hAnsi="Helvetica" w:cs="Helvetica"/>
                <w:color w:val="000000"/>
                <w:sz w:val="20"/>
                <w:szCs w:val="20"/>
                <w:lang w:eastAsia="et-EE"/>
              </w:rPr>
              <w:t>)</w:t>
            </w:r>
          </w:p>
        </w:tc>
      </w:tr>
    </w:tbl>
    <w:p w14:paraId="7B58927B" w14:textId="2DA4BFFB" w:rsidR="009702D1" w:rsidRPr="00280EA4" w:rsidRDefault="006344B9" w:rsidP="00D140CC">
      <w:pPr>
        <w:spacing w:before="270" w:after="100" w:afterAutospacing="1"/>
        <w:jc w:val="both"/>
        <w:outlineLvl w:val="2"/>
        <w:rPr>
          <w:rFonts w:ascii="Helvetica" w:hAnsi="Helvetica" w:cs="Helvetica"/>
          <w:bCs/>
          <w:color w:val="000000"/>
          <w:sz w:val="20"/>
          <w:szCs w:val="20"/>
          <w:lang w:eastAsia="en-GB"/>
        </w:rPr>
      </w:pPr>
      <w:r w:rsidRPr="00280EA4">
        <w:rPr>
          <w:rFonts w:ascii="Helvetica" w:hAnsi="Helvetica" w:cs="Helvetica"/>
          <w:b/>
          <w:bCs/>
          <w:color w:val="000000"/>
          <w:sz w:val="20"/>
          <w:szCs w:val="20"/>
          <w:lang w:eastAsia="en-GB"/>
        </w:rPr>
        <w:t>Listing and Admission to Trading of Shares</w:t>
      </w:r>
      <w:r w:rsidRPr="00280EA4">
        <w:rPr>
          <w:rFonts w:ascii="Helvetica" w:hAnsi="Helvetica" w:cs="Helvetica"/>
          <w:b/>
          <w:bCs/>
          <w:color w:val="000000"/>
          <w:sz w:val="20"/>
          <w:szCs w:val="20"/>
          <w:lang w:eastAsia="en-GB"/>
        </w:rPr>
        <w:tab/>
      </w:r>
      <w:r w:rsidRPr="00280EA4">
        <w:rPr>
          <w:rFonts w:ascii="Helvetica" w:hAnsi="Helvetica" w:cs="Helvetica"/>
          <w:b/>
          <w:bCs/>
          <w:color w:val="000000"/>
          <w:sz w:val="20"/>
          <w:szCs w:val="20"/>
          <w:lang w:eastAsia="en-GB"/>
        </w:rPr>
        <w:tab/>
      </w:r>
      <w:r w:rsidRPr="00280EA4">
        <w:rPr>
          <w:rFonts w:ascii="Helvetica" w:hAnsi="Helvetica" w:cs="Helvetica"/>
          <w:b/>
          <w:bCs/>
          <w:color w:val="000000"/>
          <w:sz w:val="20"/>
          <w:szCs w:val="20"/>
          <w:lang w:eastAsia="en-GB"/>
        </w:rPr>
        <w:tab/>
      </w:r>
      <w:r w:rsidRPr="00280EA4">
        <w:rPr>
          <w:rFonts w:ascii="Helvetica" w:hAnsi="Helvetica" w:cs="Helvetica"/>
          <w:b/>
          <w:bCs/>
          <w:color w:val="000000"/>
          <w:sz w:val="20"/>
          <w:szCs w:val="20"/>
          <w:lang w:eastAsia="en-GB"/>
        </w:rPr>
        <w:tab/>
      </w:r>
      <w:r w:rsidRPr="00280EA4">
        <w:rPr>
          <w:rFonts w:ascii="Helvetica" w:hAnsi="Helvetica" w:cs="Helvetica"/>
          <w:b/>
          <w:bCs/>
          <w:color w:val="000000"/>
          <w:sz w:val="20"/>
          <w:szCs w:val="20"/>
          <w:lang w:eastAsia="en-GB"/>
        </w:rPr>
        <w:tab/>
      </w:r>
      <w:r w:rsidRPr="00280EA4">
        <w:rPr>
          <w:rFonts w:ascii="Helvetica" w:hAnsi="Helvetica" w:cs="Helvetica"/>
          <w:b/>
          <w:bCs/>
          <w:color w:val="000000"/>
          <w:sz w:val="20"/>
          <w:szCs w:val="20"/>
          <w:lang w:eastAsia="en-GB"/>
        </w:rPr>
        <w:tab/>
        <w:t xml:space="preserve">          </w:t>
      </w:r>
      <w:r w:rsidRPr="00280EA4">
        <w:rPr>
          <w:rFonts w:ascii="Helvetica" w:hAnsi="Helvetica" w:cs="Helvetica"/>
          <w:bCs/>
          <w:color w:val="000000"/>
          <w:sz w:val="20"/>
          <w:szCs w:val="20"/>
          <w:lang w:eastAsia="en-GB"/>
        </w:rPr>
        <w:t xml:space="preserve">EfTEN Real Estate Fund III AS has applied for listing and trading all </w:t>
      </w:r>
      <w:r w:rsidR="00A97A17" w:rsidRPr="00280EA4">
        <w:rPr>
          <w:rFonts w:ascii="Helvetica" w:hAnsi="Helvetica" w:cs="Helvetica"/>
          <w:bCs/>
          <w:color w:val="000000"/>
          <w:sz w:val="20"/>
          <w:szCs w:val="20"/>
          <w:lang w:eastAsia="en-GB"/>
        </w:rPr>
        <w:t xml:space="preserve">offered </w:t>
      </w:r>
      <w:r w:rsidRPr="00280EA4">
        <w:rPr>
          <w:rFonts w:ascii="Helvetica" w:hAnsi="Helvetica" w:cs="Helvetica"/>
          <w:bCs/>
          <w:color w:val="000000"/>
          <w:sz w:val="20"/>
          <w:szCs w:val="20"/>
          <w:lang w:eastAsia="en-GB"/>
        </w:rPr>
        <w:t xml:space="preserve">shares of the fund on the Nasdaq Tallinn Stock Exchange Main List. </w:t>
      </w:r>
      <w:r w:rsidR="00495202" w:rsidRPr="00280EA4">
        <w:rPr>
          <w:rFonts w:ascii="Helvetica" w:hAnsi="Helvetica" w:cs="Helvetica"/>
          <w:bCs/>
          <w:color w:val="000000"/>
          <w:sz w:val="20"/>
          <w:szCs w:val="20"/>
          <w:lang w:eastAsia="en-GB"/>
        </w:rPr>
        <w:t>While every effort will be made and due care will be taken in order to ensure the listing and the admission to trading of the shares, EfTEN Real Estate Fund III AS cannot ensure that the shares are listed and admitted to trading.</w:t>
      </w:r>
    </w:p>
    <w:p w14:paraId="4814C74D" w14:textId="0C29DCAD" w:rsidR="00495202" w:rsidRPr="00280EA4" w:rsidRDefault="00495202" w:rsidP="00D140CC">
      <w:pPr>
        <w:spacing w:before="270" w:after="100" w:afterAutospacing="1"/>
        <w:jc w:val="both"/>
        <w:outlineLvl w:val="2"/>
        <w:rPr>
          <w:rFonts w:ascii="Helvetica" w:hAnsi="Helvetica" w:cs="Helvetica"/>
          <w:bCs/>
          <w:color w:val="000000"/>
          <w:sz w:val="20"/>
          <w:szCs w:val="20"/>
          <w:lang w:eastAsia="en-GB"/>
        </w:rPr>
      </w:pPr>
      <w:r w:rsidRPr="00280EA4">
        <w:rPr>
          <w:rFonts w:ascii="Helvetica" w:hAnsi="Helvetica" w:cs="Helvetica"/>
          <w:b/>
          <w:bCs/>
          <w:color w:val="000000"/>
          <w:sz w:val="20"/>
          <w:szCs w:val="20"/>
          <w:lang w:eastAsia="en-GB"/>
        </w:rPr>
        <w:t xml:space="preserve">Availability of Prospectus </w:t>
      </w:r>
      <w:r w:rsidR="00D140CC" w:rsidRPr="00280EA4">
        <w:rPr>
          <w:rFonts w:ascii="Helvetica" w:hAnsi="Helvetica" w:cs="Helvetica"/>
          <w:b/>
          <w:bCs/>
          <w:color w:val="000000"/>
          <w:sz w:val="20"/>
          <w:szCs w:val="20"/>
          <w:lang w:eastAsia="en-GB"/>
        </w:rPr>
        <w:tab/>
      </w:r>
      <w:r w:rsidR="00D140CC" w:rsidRPr="00280EA4">
        <w:rPr>
          <w:rFonts w:ascii="Helvetica" w:hAnsi="Helvetica" w:cs="Helvetica"/>
          <w:b/>
          <w:bCs/>
          <w:color w:val="000000"/>
          <w:sz w:val="20"/>
          <w:szCs w:val="20"/>
          <w:lang w:eastAsia="en-GB"/>
        </w:rPr>
        <w:tab/>
      </w:r>
      <w:r w:rsidR="00D140CC" w:rsidRPr="00280EA4">
        <w:rPr>
          <w:rFonts w:ascii="Helvetica" w:hAnsi="Helvetica" w:cs="Helvetica"/>
          <w:b/>
          <w:bCs/>
          <w:color w:val="000000"/>
          <w:sz w:val="20"/>
          <w:szCs w:val="20"/>
          <w:lang w:eastAsia="en-GB"/>
        </w:rPr>
        <w:tab/>
      </w:r>
      <w:r w:rsidR="00D140CC" w:rsidRPr="00280EA4">
        <w:rPr>
          <w:rFonts w:ascii="Helvetica" w:hAnsi="Helvetica" w:cs="Helvetica"/>
          <w:b/>
          <w:bCs/>
          <w:color w:val="000000"/>
          <w:sz w:val="20"/>
          <w:szCs w:val="20"/>
          <w:lang w:eastAsia="en-GB"/>
        </w:rPr>
        <w:tab/>
      </w:r>
      <w:r w:rsidR="00D140CC" w:rsidRPr="00280EA4">
        <w:rPr>
          <w:rFonts w:ascii="Helvetica" w:hAnsi="Helvetica" w:cs="Helvetica"/>
          <w:b/>
          <w:bCs/>
          <w:color w:val="000000"/>
          <w:sz w:val="20"/>
          <w:szCs w:val="20"/>
          <w:lang w:eastAsia="en-GB"/>
        </w:rPr>
        <w:tab/>
      </w:r>
      <w:r w:rsidR="00D140CC" w:rsidRPr="00280EA4">
        <w:rPr>
          <w:rFonts w:ascii="Helvetica" w:hAnsi="Helvetica" w:cs="Helvetica"/>
          <w:b/>
          <w:bCs/>
          <w:color w:val="000000"/>
          <w:sz w:val="20"/>
          <w:szCs w:val="20"/>
          <w:lang w:eastAsia="en-GB"/>
        </w:rPr>
        <w:tab/>
      </w:r>
      <w:r w:rsidR="00D140CC" w:rsidRPr="00280EA4">
        <w:rPr>
          <w:rFonts w:ascii="Helvetica" w:hAnsi="Helvetica" w:cs="Helvetica"/>
          <w:b/>
          <w:bCs/>
          <w:color w:val="000000"/>
          <w:sz w:val="20"/>
          <w:szCs w:val="20"/>
          <w:lang w:eastAsia="en-GB"/>
        </w:rPr>
        <w:tab/>
      </w:r>
      <w:r w:rsidR="00D140CC" w:rsidRPr="00280EA4">
        <w:rPr>
          <w:rFonts w:ascii="Helvetica" w:hAnsi="Helvetica" w:cs="Helvetica"/>
          <w:b/>
          <w:bCs/>
          <w:color w:val="000000"/>
          <w:sz w:val="20"/>
          <w:szCs w:val="20"/>
          <w:lang w:eastAsia="en-GB"/>
        </w:rPr>
        <w:tab/>
      </w:r>
      <w:r w:rsidR="00D140CC" w:rsidRPr="00280EA4">
        <w:rPr>
          <w:rFonts w:ascii="Helvetica" w:hAnsi="Helvetica" w:cs="Helvetica"/>
          <w:b/>
          <w:bCs/>
          <w:color w:val="000000"/>
          <w:sz w:val="20"/>
          <w:szCs w:val="20"/>
          <w:lang w:eastAsia="en-GB"/>
        </w:rPr>
        <w:tab/>
      </w:r>
      <w:r w:rsidRPr="00280EA4">
        <w:rPr>
          <w:rFonts w:ascii="Helvetica" w:hAnsi="Helvetica" w:cs="Helvetica"/>
          <w:b/>
          <w:bCs/>
          <w:color w:val="000000"/>
          <w:sz w:val="20"/>
          <w:szCs w:val="20"/>
          <w:lang w:eastAsia="en-GB"/>
        </w:rPr>
        <w:t xml:space="preserve">  </w:t>
      </w:r>
      <w:r w:rsidRPr="00280EA4">
        <w:rPr>
          <w:rFonts w:ascii="Helvetica" w:hAnsi="Helvetica" w:cs="Helvetica"/>
          <w:bCs/>
          <w:color w:val="000000"/>
          <w:sz w:val="20"/>
          <w:szCs w:val="20"/>
          <w:lang w:eastAsia="en-GB"/>
        </w:rPr>
        <w:t xml:space="preserve">The public offering, listing and admission to trading prospectus of </w:t>
      </w:r>
      <w:r w:rsidR="00957597" w:rsidRPr="00280EA4">
        <w:rPr>
          <w:rFonts w:ascii="Helvetica" w:hAnsi="Helvetica" w:cs="Helvetica"/>
          <w:bCs/>
          <w:color w:val="000000"/>
          <w:sz w:val="20"/>
          <w:szCs w:val="20"/>
          <w:lang w:eastAsia="en-GB"/>
        </w:rPr>
        <w:t>shares of EfTEN Real Estate Fund III AS</w:t>
      </w:r>
      <w:r w:rsidR="00274FD6" w:rsidRPr="00280EA4">
        <w:rPr>
          <w:rFonts w:ascii="Helvetica" w:hAnsi="Helvetica" w:cs="Helvetica"/>
          <w:bCs/>
          <w:color w:val="000000"/>
          <w:sz w:val="20"/>
          <w:szCs w:val="20"/>
          <w:lang w:eastAsia="en-GB"/>
        </w:rPr>
        <w:t xml:space="preserve"> </w:t>
      </w:r>
      <w:r w:rsidRPr="00280EA4">
        <w:rPr>
          <w:rFonts w:ascii="Helvetica" w:hAnsi="Helvetica" w:cs="Helvetica"/>
          <w:bCs/>
          <w:color w:val="000000"/>
          <w:sz w:val="20"/>
          <w:szCs w:val="20"/>
          <w:lang w:eastAsia="en-GB"/>
        </w:rPr>
        <w:t>can be obtained</w:t>
      </w:r>
      <w:r w:rsidR="00274FD6" w:rsidRPr="00280EA4">
        <w:rPr>
          <w:rFonts w:ascii="Helvetica" w:hAnsi="Helvetica" w:cs="Helvetica"/>
          <w:bCs/>
          <w:color w:val="000000"/>
          <w:sz w:val="20"/>
          <w:szCs w:val="20"/>
          <w:lang w:eastAsia="en-GB"/>
        </w:rPr>
        <w:t xml:space="preserve"> at the office EfTEN Real Estate Fund III AS at A. Lauteri 5, Tallinn (III floor) and</w:t>
      </w:r>
      <w:r w:rsidRPr="00280EA4">
        <w:rPr>
          <w:rFonts w:ascii="Helvetica" w:hAnsi="Helvetica" w:cs="Helvetica"/>
          <w:bCs/>
          <w:color w:val="000000"/>
          <w:sz w:val="20"/>
          <w:szCs w:val="20"/>
          <w:lang w:eastAsia="en-GB"/>
        </w:rPr>
        <w:t xml:space="preserve"> in electronic format from</w:t>
      </w:r>
      <w:r w:rsidR="00274FD6" w:rsidRPr="00280EA4">
        <w:rPr>
          <w:rFonts w:ascii="Helvetica" w:hAnsi="Helvetica" w:cs="Helvetica"/>
          <w:bCs/>
          <w:color w:val="000000"/>
          <w:sz w:val="20"/>
          <w:szCs w:val="20"/>
          <w:lang w:eastAsia="en-GB"/>
        </w:rPr>
        <w:t xml:space="preserve"> fund’s website </w:t>
      </w:r>
      <w:hyperlink r:id="rId4" w:history="1">
        <w:r w:rsidR="00A97640" w:rsidRPr="00280EA4">
          <w:rPr>
            <w:rStyle w:val="Hyperlink"/>
            <w:rFonts w:ascii="Helvetica" w:hAnsi="Helvetica" w:cs="Helvetica"/>
            <w:bCs/>
            <w:sz w:val="20"/>
            <w:szCs w:val="20"/>
            <w:lang w:eastAsia="en-GB"/>
          </w:rPr>
          <w:t>www.eref.ee</w:t>
        </w:r>
      </w:hyperlink>
      <w:r w:rsidR="00A97640" w:rsidRPr="00280EA4">
        <w:rPr>
          <w:rFonts w:ascii="Helvetica" w:hAnsi="Helvetica" w:cs="Helvetica"/>
          <w:bCs/>
          <w:color w:val="000000"/>
          <w:sz w:val="20"/>
          <w:szCs w:val="20"/>
          <w:lang w:eastAsia="en-GB"/>
        </w:rPr>
        <w:t xml:space="preserve"> </w:t>
      </w:r>
      <w:r w:rsidRPr="00280EA4">
        <w:rPr>
          <w:rFonts w:ascii="Helvetica" w:hAnsi="Helvetica" w:cs="Helvetica"/>
          <w:bCs/>
          <w:color w:val="000000"/>
          <w:sz w:val="20"/>
          <w:szCs w:val="20"/>
          <w:lang w:eastAsia="en-GB"/>
        </w:rPr>
        <w:t>and from the website of the Fi</w:t>
      </w:r>
      <w:r w:rsidR="00274FD6" w:rsidRPr="00280EA4">
        <w:rPr>
          <w:rFonts w:ascii="Helvetica" w:hAnsi="Helvetica" w:cs="Helvetica"/>
          <w:bCs/>
          <w:color w:val="000000"/>
          <w:sz w:val="20"/>
          <w:szCs w:val="20"/>
          <w:lang w:eastAsia="en-GB"/>
        </w:rPr>
        <w:t xml:space="preserve">nancial Supervision Authority </w:t>
      </w:r>
      <w:hyperlink r:id="rId5" w:history="1">
        <w:r w:rsidR="00A97640" w:rsidRPr="00280EA4">
          <w:rPr>
            <w:rStyle w:val="Hyperlink"/>
            <w:rFonts w:ascii="Helvetica" w:hAnsi="Helvetica" w:cs="Helvetica"/>
            <w:bCs/>
            <w:sz w:val="20"/>
            <w:szCs w:val="20"/>
            <w:lang w:eastAsia="en-GB"/>
          </w:rPr>
          <w:t>www.fi.ee</w:t>
        </w:r>
      </w:hyperlink>
      <w:r w:rsidRPr="00280EA4">
        <w:rPr>
          <w:rFonts w:ascii="Helvetica" w:hAnsi="Helvetica" w:cs="Helvetica"/>
          <w:bCs/>
          <w:color w:val="000000"/>
          <w:sz w:val="20"/>
          <w:szCs w:val="20"/>
          <w:lang w:eastAsia="en-GB"/>
        </w:rPr>
        <w:t xml:space="preserve">. </w:t>
      </w:r>
      <w:r w:rsidR="00274FD6" w:rsidRPr="00280EA4">
        <w:rPr>
          <w:rFonts w:ascii="Helvetica" w:hAnsi="Helvetica" w:cs="Helvetica"/>
          <w:bCs/>
          <w:color w:val="000000"/>
          <w:sz w:val="20"/>
          <w:szCs w:val="20"/>
          <w:lang w:eastAsia="en-GB"/>
        </w:rPr>
        <w:tab/>
      </w:r>
      <w:r w:rsidR="00274FD6" w:rsidRPr="00280EA4">
        <w:rPr>
          <w:rFonts w:ascii="Helvetica" w:hAnsi="Helvetica" w:cs="Helvetica"/>
          <w:bCs/>
          <w:color w:val="000000"/>
          <w:sz w:val="20"/>
          <w:szCs w:val="20"/>
          <w:lang w:eastAsia="en-GB"/>
        </w:rPr>
        <w:tab/>
      </w:r>
      <w:r w:rsidR="00274FD6" w:rsidRPr="00280EA4">
        <w:rPr>
          <w:rFonts w:ascii="Helvetica" w:hAnsi="Helvetica" w:cs="Helvetica"/>
          <w:bCs/>
          <w:color w:val="000000"/>
          <w:sz w:val="20"/>
          <w:szCs w:val="20"/>
          <w:lang w:eastAsia="en-GB"/>
        </w:rPr>
        <w:tab/>
      </w:r>
      <w:r w:rsidR="00274FD6" w:rsidRPr="00280EA4">
        <w:rPr>
          <w:rFonts w:ascii="Helvetica" w:hAnsi="Helvetica" w:cs="Helvetica"/>
          <w:bCs/>
          <w:color w:val="000000"/>
          <w:sz w:val="20"/>
          <w:szCs w:val="20"/>
          <w:lang w:eastAsia="en-GB"/>
        </w:rPr>
        <w:tab/>
      </w:r>
      <w:r w:rsidR="00274FD6" w:rsidRPr="00280EA4">
        <w:rPr>
          <w:rFonts w:ascii="Helvetica" w:hAnsi="Helvetica" w:cs="Helvetica"/>
          <w:bCs/>
          <w:color w:val="000000"/>
          <w:sz w:val="20"/>
          <w:szCs w:val="20"/>
          <w:lang w:eastAsia="en-GB"/>
        </w:rPr>
        <w:tab/>
      </w:r>
      <w:r w:rsidR="00274FD6" w:rsidRPr="00280EA4">
        <w:rPr>
          <w:rFonts w:ascii="Helvetica" w:hAnsi="Helvetica" w:cs="Helvetica"/>
          <w:bCs/>
          <w:color w:val="000000"/>
          <w:sz w:val="20"/>
          <w:szCs w:val="20"/>
          <w:lang w:eastAsia="en-GB"/>
        </w:rPr>
        <w:tab/>
      </w:r>
      <w:r w:rsidR="00274FD6" w:rsidRPr="00280EA4">
        <w:rPr>
          <w:rFonts w:ascii="Helvetica" w:hAnsi="Helvetica" w:cs="Helvetica"/>
          <w:bCs/>
          <w:color w:val="000000"/>
          <w:sz w:val="20"/>
          <w:szCs w:val="20"/>
          <w:lang w:eastAsia="en-GB"/>
        </w:rPr>
        <w:tab/>
      </w:r>
      <w:r w:rsidR="00274FD6" w:rsidRPr="00280EA4">
        <w:rPr>
          <w:rFonts w:ascii="Helvetica" w:hAnsi="Helvetica" w:cs="Helvetica"/>
          <w:bCs/>
          <w:color w:val="000000"/>
          <w:sz w:val="20"/>
          <w:szCs w:val="20"/>
          <w:lang w:eastAsia="en-GB"/>
        </w:rPr>
        <w:tab/>
      </w:r>
      <w:r w:rsidR="00274FD6" w:rsidRPr="00280EA4">
        <w:rPr>
          <w:rFonts w:ascii="Helvetica" w:hAnsi="Helvetica" w:cs="Helvetica"/>
          <w:bCs/>
          <w:color w:val="000000"/>
          <w:sz w:val="20"/>
          <w:szCs w:val="20"/>
          <w:lang w:eastAsia="en-GB"/>
        </w:rPr>
        <w:tab/>
        <w:t xml:space="preserve">    </w:t>
      </w:r>
      <w:r w:rsidR="00647E36" w:rsidRPr="00280EA4">
        <w:rPr>
          <w:rFonts w:ascii="Helvetica" w:hAnsi="Helvetica" w:cs="Helvetica"/>
          <w:bCs/>
          <w:color w:val="000000"/>
          <w:sz w:val="20"/>
          <w:szCs w:val="20"/>
          <w:lang w:eastAsia="en-GB"/>
        </w:rPr>
        <w:t>Additionally,</w:t>
      </w:r>
      <w:r w:rsidR="00D140CC" w:rsidRPr="00280EA4">
        <w:rPr>
          <w:rFonts w:ascii="Helvetica" w:hAnsi="Helvetica" w:cs="Helvetica"/>
          <w:bCs/>
          <w:color w:val="000000"/>
          <w:sz w:val="20"/>
          <w:szCs w:val="20"/>
          <w:lang w:eastAsia="en-GB"/>
        </w:rPr>
        <w:t xml:space="preserve"> the prospectus is attached to this</w:t>
      </w:r>
      <w:r w:rsidR="00647E36" w:rsidRPr="00280EA4">
        <w:rPr>
          <w:rFonts w:ascii="Helvetica" w:hAnsi="Helvetica" w:cs="Helvetica"/>
          <w:bCs/>
          <w:color w:val="000000"/>
          <w:sz w:val="20"/>
          <w:szCs w:val="20"/>
          <w:lang w:eastAsia="en-GB"/>
        </w:rPr>
        <w:t xml:space="preserve"> notice on</w:t>
      </w:r>
      <w:r w:rsidR="00D140CC" w:rsidRPr="00280EA4">
        <w:rPr>
          <w:rFonts w:ascii="Helvetica" w:hAnsi="Helvetica" w:cs="Helvetica"/>
          <w:bCs/>
          <w:color w:val="000000"/>
          <w:sz w:val="20"/>
          <w:szCs w:val="20"/>
          <w:lang w:eastAsia="en-GB"/>
        </w:rPr>
        <w:t xml:space="preserve"> public offering, listing and admission to trading of shares</w:t>
      </w:r>
      <w:r w:rsidR="00647E36" w:rsidRPr="00280EA4">
        <w:rPr>
          <w:rFonts w:ascii="Helvetica" w:hAnsi="Helvetica" w:cs="Helvetica"/>
          <w:bCs/>
          <w:color w:val="000000"/>
          <w:sz w:val="20"/>
          <w:szCs w:val="20"/>
          <w:lang w:eastAsia="en-GB"/>
        </w:rPr>
        <w:t xml:space="preserve"> of EfTEN Real Estate Fund III AS</w:t>
      </w:r>
      <w:r w:rsidR="00D140CC" w:rsidRPr="00280EA4">
        <w:rPr>
          <w:rFonts w:ascii="Helvetica" w:hAnsi="Helvetica" w:cs="Helvetica"/>
          <w:bCs/>
          <w:color w:val="000000"/>
          <w:sz w:val="20"/>
          <w:szCs w:val="20"/>
          <w:lang w:eastAsia="en-GB"/>
        </w:rPr>
        <w:t>.</w:t>
      </w:r>
    </w:p>
    <w:p w14:paraId="602EAF2F" w14:textId="4A689579" w:rsidR="00495202" w:rsidRPr="00280EA4" w:rsidRDefault="00495202" w:rsidP="00D140CC">
      <w:pPr>
        <w:spacing w:before="270" w:after="100" w:afterAutospacing="1"/>
        <w:jc w:val="both"/>
        <w:outlineLvl w:val="2"/>
        <w:rPr>
          <w:rFonts w:ascii="Helvetica" w:hAnsi="Helvetica" w:cs="Helvetica"/>
          <w:b/>
          <w:bCs/>
          <w:color w:val="000000"/>
          <w:sz w:val="20"/>
          <w:szCs w:val="20"/>
          <w:lang w:eastAsia="en-GB"/>
        </w:rPr>
      </w:pPr>
      <w:r w:rsidRPr="00280EA4">
        <w:rPr>
          <w:rFonts w:ascii="Helvetica" w:hAnsi="Helvetica" w:cs="Helvetica"/>
          <w:b/>
          <w:bCs/>
          <w:color w:val="000000"/>
          <w:sz w:val="20"/>
          <w:szCs w:val="20"/>
          <w:lang w:eastAsia="en-GB"/>
        </w:rPr>
        <w:t xml:space="preserve">Before investing into </w:t>
      </w:r>
      <w:r w:rsidR="00D140CC" w:rsidRPr="00280EA4">
        <w:rPr>
          <w:rFonts w:ascii="Helvetica" w:hAnsi="Helvetica" w:cs="Helvetica"/>
          <w:b/>
          <w:bCs/>
          <w:color w:val="000000"/>
          <w:sz w:val="20"/>
          <w:szCs w:val="20"/>
          <w:lang w:eastAsia="en-GB"/>
        </w:rPr>
        <w:t xml:space="preserve">shares of EfTEN Real Estate Fund III AS </w:t>
      </w:r>
      <w:r w:rsidRPr="00280EA4">
        <w:rPr>
          <w:rFonts w:ascii="Helvetica" w:hAnsi="Helvetica" w:cs="Helvetica"/>
          <w:b/>
          <w:bCs/>
          <w:color w:val="000000"/>
          <w:sz w:val="20"/>
          <w:szCs w:val="20"/>
          <w:lang w:eastAsia="en-GB"/>
        </w:rPr>
        <w:t>we ask you to acquaint yourself with the whole prospectus.</w:t>
      </w:r>
    </w:p>
    <w:p w14:paraId="1596B6D4" w14:textId="5BA01A63" w:rsidR="009702D1" w:rsidRPr="00280EA4" w:rsidRDefault="009702D1" w:rsidP="00D140CC">
      <w:pPr>
        <w:spacing w:before="270" w:after="100" w:afterAutospacing="1"/>
        <w:jc w:val="both"/>
        <w:outlineLvl w:val="2"/>
        <w:rPr>
          <w:rFonts w:ascii="Helvetica" w:hAnsi="Helvetica" w:cs="Helvetica"/>
          <w:bCs/>
          <w:color w:val="000000"/>
          <w:sz w:val="20"/>
          <w:szCs w:val="20"/>
          <w:lang w:eastAsia="en-GB"/>
        </w:rPr>
      </w:pPr>
    </w:p>
    <w:p w14:paraId="28214133" w14:textId="77777777" w:rsidR="00686886" w:rsidRPr="00280EA4" w:rsidRDefault="00686886" w:rsidP="00D140CC">
      <w:pPr>
        <w:spacing w:before="270" w:after="100" w:afterAutospacing="1"/>
        <w:jc w:val="both"/>
        <w:outlineLvl w:val="2"/>
        <w:rPr>
          <w:rFonts w:ascii="Helvetica" w:hAnsi="Helvetica" w:cs="Helvetica"/>
          <w:bCs/>
          <w:color w:val="000000"/>
          <w:sz w:val="20"/>
          <w:szCs w:val="20"/>
          <w:lang w:eastAsia="en-GB"/>
        </w:rPr>
      </w:pPr>
    </w:p>
    <w:p w14:paraId="472FD606" w14:textId="77777777" w:rsidR="00686886" w:rsidRPr="00280EA4" w:rsidRDefault="00686886" w:rsidP="00686886">
      <w:pPr>
        <w:rPr>
          <w:rFonts w:ascii="Helvetica" w:hAnsi="Helvetica" w:cs="Helvetica"/>
          <w:color w:val="000000"/>
          <w:sz w:val="20"/>
          <w:szCs w:val="20"/>
          <w:lang w:eastAsia="en-GB"/>
        </w:rPr>
      </w:pPr>
      <w:r w:rsidRPr="00280EA4">
        <w:rPr>
          <w:rFonts w:ascii="Helvetica" w:hAnsi="Helvetica" w:cs="Helvetica"/>
          <w:color w:val="000000"/>
          <w:sz w:val="20"/>
          <w:szCs w:val="20"/>
          <w:lang w:eastAsia="en-GB"/>
        </w:rPr>
        <w:t>Viljar Arakas</w:t>
      </w:r>
      <w:r w:rsidRPr="00280EA4">
        <w:rPr>
          <w:rFonts w:ascii="Helvetica" w:hAnsi="Helvetica" w:cs="Helvetica"/>
          <w:color w:val="000000"/>
          <w:sz w:val="20"/>
          <w:szCs w:val="20"/>
          <w:lang w:eastAsia="en-GB"/>
        </w:rPr>
        <w:br/>
        <w:t>Member of the Management Board</w:t>
      </w:r>
      <w:r w:rsidRPr="00280EA4">
        <w:rPr>
          <w:rFonts w:ascii="Helvetica" w:hAnsi="Helvetica" w:cs="Helvetica"/>
          <w:color w:val="000000"/>
          <w:sz w:val="20"/>
          <w:szCs w:val="20"/>
          <w:lang w:eastAsia="en-GB"/>
        </w:rPr>
        <w:tab/>
      </w:r>
      <w:r w:rsidRPr="00280EA4">
        <w:rPr>
          <w:rFonts w:ascii="Helvetica" w:hAnsi="Helvetica" w:cs="Helvetica"/>
          <w:color w:val="000000"/>
          <w:sz w:val="20"/>
          <w:szCs w:val="20"/>
          <w:lang w:eastAsia="en-GB"/>
        </w:rPr>
        <w:tab/>
      </w:r>
      <w:r w:rsidRPr="00280EA4">
        <w:rPr>
          <w:rFonts w:ascii="Helvetica" w:hAnsi="Helvetica" w:cs="Helvetica"/>
          <w:color w:val="000000"/>
          <w:sz w:val="20"/>
          <w:szCs w:val="20"/>
          <w:lang w:eastAsia="en-GB"/>
        </w:rPr>
        <w:tab/>
      </w:r>
      <w:r w:rsidRPr="00280EA4">
        <w:rPr>
          <w:rFonts w:ascii="Helvetica" w:hAnsi="Helvetica" w:cs="Helvetica"/>
          <w:color w:val="000000"/>
          <w:sz w:val="20"/>
          <w:szCs w:val="20"/>
          <w:lang w:eastAsia="en-GB"/>
        </w:rPr>
        <w:tab/>
      </w:r>
      <w:r w:rsidRPr="00280EA4">
        <w:rPr>
          <w:rFonts w:ascii="Helvetica" w:hAnsi="Helvetica" w:cs="Helvetica"/>
          <w:color w:val="000000"/>
          <w:sz w:val="20"/>
          <w:szCs w:val="20"/>
          <w:lang w:eastAsia="en-GB"/>
        </w:rPr>
        <w:tab/>
      </w:r>
    </w:p>
    <w:p w14:paraId="11328EE1" w14:textId="77777777" w:rsidR="00686886" w:rsidRPr="00280EA4" w:rsidRDefault="00686886" w:rsidP="00686886">
      <w:pPr>
        <w:rPr>
          <w:rFonts w:ascii="Helvetica" w:hAnsi="Helvetica" w:cs="Helvetica"/>
          <w:color w:val="000000"/>
          <w:sz w:val="20"/>
          <w:szCs w:val="20"/>
          <w:lang w:eastAsia="en-GB"/>
        </w:rPr>
      </w:pPr>
      <w:r w:rsidRPr="00280EA4">
        <w:rPr>
          <w:rFonts w:ascii="Helvetica" w:hAnsi="Helvetica" w:cs="Helvetica"/>
          <w:color w:val="000000"/>
          <w:sz w:val="20"/>
          <w:szCs w:val="20"/>
          <w:lang w:eastAsia="en-GB"/>
        </w:rPr>
        <w:t>Phone: 655 9515</w:t>
      </w:r>
      <w:r w:rsidRPr="00280EA4">
        <w:rPr>
          <w:rFonts w:ascii="Helvetica" w:hAnsi="Helvetica" w:cs="Helvetica"/>
          <w:color w:val="000000"/>
          <w:sz w:val="20"/>
          <w:szCs w:val="20"/>
          <w:lang w:eastAsia="en-GB"/>
        </w:rPr>
        <w:tab/>
      </w:r>
      <w:r w:rsidRPr="00280EA4">
        <w:rPr>
          <w:rFonts w:ascii="Helvetica" w:hAnsi="Helvetica" w:cs="Helvetica"/>
          <w:color w:val="000000"/>
          <w:sz w:val="20"/>
          <w:szCs w:val="20"/>
          <w:lang w:eastAsia="en-GB"/>
        </w:rPr>
        <w:tab/>
      </w:r>
      <w:r w:rsidRPr="00280EA4">
        <w:rPr>
          <w:rFonts w:ascii="Helvetica" w:hAnsi="Helvetica" w:cs="Helvetica"/>
          <w:color w:val="000000"/>
          <w:sz w:val="20"/>
          <w:szCs w:val="20"/>
          <w:lang w:eastAsia="en-GB"/>
        </w:rPr>
        <w:tab/>
      </w:r>
      <w:r w:rsidRPr="00280EA4">
        <w:rPr>
          <w:rFonts w:ascii="Helvetica" w:hAnsi="Helvetica" w:cs="Helvetica"/>
          <w:color w:val="000000"/>
          <w:sz w:val="20"/>
          <w:szCs w:val="20"/>
          <w:lang w:eastAsia="en-GB"/>
        </w:rPr>
        <w:tab/>
      </w:r>
      <w:r w:rsidRPr="00280EA4">
        <w:rPr>
          <w:rFonts w:ascii="Helvetica" w:hAnsi="Helvetica" w:cs="Helvetica"/>
          <w:color w:val="000000"/>
          <w:sz w:val="20"/>
          <w:szCs w:val="20"/>
          <w:lang w:eastAsia="en-GB"/>
        </w:rPr>
        <w:tab/>
      </w:r>
      <w:r w:rsidRPr="00280EA4">
        <w:rPr>
          <w:rFonts w:ascii="Helvetica" w:hAnsi="Helvetica" w:cs="Helvetica"/>
          <w:color w:val="000000"/>
          <w:sz w:val="20"/>
          <w:szCs w:val="20"/>
          <w:lang w:eastAsia="en-GB"/>
        </w:rPr>
        <w:tab/>
      </w:r>
      <w:r w:rsidRPr="00280EA4">
        <w:rPr>
          <w:rFonts w:ascii="Helvetica" w:hAnsi="Helvetica" w:cs="Helvetica"/>
          <w:color w:val="000000"/>
          <w:sz w:val="20"/>
          <w:szCs w:val="20"/>
          <w:lang w:eastAsia="en-GB"/>
        </w:rPr>
        <w:tab/>
      </w:r>
      <w:r w:rsidRPr="00280EA4">
        <w:rPr>
          <w:rFonts w:ascii="Helvetica" w:hAnsi="Helvetica" w:cs="Helvetica"/>
          <w:color w:val="000000"/>
          <w:sz w:val="20"/>
          <w:szCs w:val="20"/>
          <w:lang w:eastAsia="en-GB"/>
        </w:rPr>
        <w:tab/>
      </w:r>
      <w:r w:rsidRPr="00280EA4">
        <w:rPr>
          <w:rFonts w:ascii="Helvetica" w:hAnsi="Helvetica" w:cs="Helvetica"/>
          <w:color w:val="000000"/>
          <w:sz w:val="20"/>
          <w:szCs w:val="20"/>
          <w:lang w:eastAsia="en-GB"/>
        </w:rPr>
        <w:tab/>
      </w:r>
      <w:r w:rsidRPr="00280EA4">
        <w:rPr>
          <w:rFonts w:ascii="Helvetica" w:hAnsi="Helvetica" w:cs="Helvetica"/>
          <w:color w:val="000000"/>
          <w:sz w:val="20"/>
          <w:szCs w:val="20"/>
          <w:lang w:eastAsia="en-GB"/>
        </w:rPr>
        <w:tab/>
        <w:t xml:space="preserve">                E-mail: viljar.arakas@eften.ee</w:t>
      </w:r>
    </w:p>
    <w:p w14:paraId="51F0AB2C" w14:textId="77777777" w:rsidR="00C93BEA" w:rsidRPr="00957597" w:rsidRDefault="00C93BEA" w:rsidP="00D140CC">
      <w:pPr>
        <w:spacing w:before="270" w:after="100" w:afterAutospacing="1"/>
        <w:jc w:val="both"/>
        <w:outlineLvl w:val="2"/>
        <w:rPr>
          <w:rFonts w:ascii="Helvetica" w:hAnsi="Helvetica" w:cs="Arial"/>
          <w:bCs/>
          <w:color w:val="000000"/>
          <w:sz w:val="20"/>
          <w:szCs w:val="20"/>
          <w:lang w:eastAsia="en-GB"/>
        </w:rPr>
      </w:pPr>
    </w:p>
    <w:p w14:paraId="18E38DC1" w14:textId="77777777" w:rsidR="00C93BEA" w:rsidRPr="00957597" w:rsidRDefault="00C93BEA" w:rsidP="00D140CC">
      <w:pPr>
        <w:spacing w:before="270" w:after="100" w:afterAutospacing="1"/>
        <w:jc w:val="both"/>
        <w:outlineLvl w:val="2"/>
        <w:rPr>
          <w:rFonts w:ascii="Helvetica" w:hAnsi="Helvetica" w:cs="Arial"/>
          <w:bCs/>
          <w:color w:val="000000"/>
          <w:sz w:val="20"/>
          <w:szCs w:val="20"/>
          <w:lang w:eastAsia="en-GB"/>
        </w:rPr>
      </w:pPr>
    </w:p>
    <w:p w14:paraId="6CC1E5A0" w14:textId="77777777" w:rsidR="00FA707D" w:rsidRPr="00957597" w:rsidRDefault="00FA707D" w:rsidP="00D140CC">
      <w:pPr>
        <w:jc w:val="both"/>
        <w:rPr>
          <w:rFonts w:ascii="Helvetica" w:hAnsi="Helvetica"/>
          <w:sz w:val="20"/>
          <w:szCs w:val="20"/>
        </w:rPr>
      </w:pPr>
    </w:p>
    <w:sectPr w:rsidR="00FA707D" w:rsidRPr="00957597" w:rsidSect="001434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DAF"/>
    <w:rsid w:val="0014343C"/>
    <w:rsid w:val="001C4E0C"/>
    <w:rsid w:val="002213BD"/>
    <w:rsid w:val="00274FD6"/>
    <w:rsid w:val="00280EA4"/>
    <w:rsid w:val="002F5771"/>
    <w:rsid w:val="00381324"/>
    <w:rsid w:val="003D647E"/>
    <w:rsid w:val="00421A15"/>
    <w:rsid w:val="00473D13"/>
    <w:rsid w:val="0048091C"/>
    <w:rsid w:val="00495202"/>
    <w:rsid w:val="0049661A"/>
    <w:rsid w:val="006344B9"/>
    <w:rsid w:val="00647E36"/>
    <w:rsid w:val="00686886"/>
    <w:rsid w:val="006E0E2D"/>
    <w:rsid w:val="00803522"/>
    <w:rsid w:val="008B53D4"/>
    <w:rsid w:val="00957597"/>
    <w:rsid w:val="00962DAF"/>
    <w:rsid w:val="009702D1"/>
    <w:rsid w:val="00972749"/>
    <w:rsid w:val="009B51E8"/>
    <w:rsid w:val="00A150E7"/>
    <w:rsid w:val="00A44958"/>
    <w:rsid w:val="00A97640"/>
    <w:rsid w:val="00A97A17"/>
    <w:rsid w:val="00C0158F"/>
    <w:rsid w:val="00C2311E"/>
    <w:rsid w:val="00C93BEA"/>
    <w:rsid w:val="00D05F7E"/>
    <w:rsid w:val="00D140CC"/>
    <w:rsid w:val="00D20091"/>
    <w:rsid w:val="00DC6CC6"/>
    <w:rsid w:val="00E16F2C"/>
    <w:rsid w:val="00FA7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C2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imes New Roman" w:hAnsi="Helvetica" w:cs="Arial"/>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Times New Roman" w:hAnsi="Times New Roman" w:cs="Times New Roman"/>
      <w:sz w:val="22"/>
      <w:lang w:val="en-US"/>
    </w:rPr>
  </w:style>
  <w:style w:type="paragraph" w:styleId="Heading3">
    <w:name w:val="heading 3"/>
    <w:basedOn w:val="Normal"/>
    <w:link w:val="Heading3Char"/>
    <w:uiPriority w:val="9"/>
    <w:qFormat/>
    <w:rsid w:val="00962DAF"/>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2DAF"/>
    <w:rPr>
      <w:rFonts w:ascii="Times New Roman" w:hAnsi="Times New Roman" w:cs="Times New Roman"/>
      <w:b/>
      <w:bCs/>
      <w:sz w:val="27"/>
      <w:szCs w:val="27"/>
      <w:lang w:eastAsia="en-GB"/>
    </w:rPr>
  </w:style>
  <w:style w:type="character" w:customStyle="1" w:styleId="apple-converted-space">
    <w:name w:val="apple-converted-space"/>
    <w:basedOn w:val="DefaultParagraphFont"/>
    <w:rsid w:val="00962DAF"/>
  </w:style>
  <w:style w:type="character" w:styleId="Hyperlink">
    <w:name w:val="Hyperlink"/>
    <w:basedOn w:val="DefaultParagraphFont"/>
    <w:uiPriority w:val="99"/>
    <w:unhideWhenUsed/>
    <w:rsid w:val="00A97640"/>
    <w:rPr>
      <w:color w:val="0563C1" w:themeColor="hyperlink"/>
      <w:u w:val="single"/>
    </w:rPr>
  </w:style>
  <w:style w:type="character" w:styleId="UnresolvedMention">
    <w:name w:val="Unresolved Mention"/>
    <w:basedOn w:val="DefaultParagraphFont"/>
    <w:uiPriority w:val="99"/>
    <w:rsid w:val="00A97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55548">
      <w:bodyDiv w:val="1"/>
      <w:marLeft w:val="0"/>
      <w:marRight w:val="0"/>
      <w:marTop w:val="0"/>
      <w:marBottom w:val="0"/>
      <w:divBdr>
        <w:top w:val="none" w:sz="0" w:space="0" w:color="auto"/>
        <w:left w:val="none" w:sz="0" w:space="0" w:color="auto"/>
        <w:bottom w:val="none" w:sz="0" w:space="0" w:color="auto"/>
        <w:right w:val="none" w:sz="0" w:space="0" w:color="auto"/>
      </w:divBdr>
    </w:div>
    <w:div w:id="773482940">
      <w:bodyDiv w:val="1"/>
      <w:marLeft w:val="0"/>
      <w:marRight w:val="0"/>
      <w:marTop w:val="0"/>
      <w:marBottom w:val="0"/>
      <w:divBdr>
        <w:top w:val="none" w:sz="0" w:space="0" w:color="auto"/>
        <w:left w:val="none" w:sz="0" w:space="0" w:color="auto"/>
        <w:bottom w:val="none" w:sz="0" w:space="0" w:color="auto"/>
        <w:right w:val="none" w:sz="0" w:space="0" w:color="auto"/>
      </w:divBdr>
    </w:div>
    <w:div w:id="849640504">
      <w:bodyDiv w:val="1"/>
      <w:marLeft w:val="0"/>
      <w:marRight w:val="0"/>
      <w:marTop w:val="0"/>
      <w:marBottom w:val="0"/>
      <w:divBdr>
        <w:top w:val="none" w:sz="0" w:space="0" w:color="auto"/>
        <w:left w:val="none" w:sz="0" w:space="0" w:color="auto"/>
        <w:bottom w:val="none" w:sz="0" w:space="0" w:color="auto"/>
        <w:right w:val="none" w:sz="0" w:space="0" w:color="auto"/>
      </w:divBdr>
    </w:div>
    <w:div w:id="1690331249">
      <w:bodyDiv w:val="1"/>
      <w:marLeft w:val="0"/>
      <w:marRight w:val="0"/>
      <w:marTop w:val="0"/>
      <w:marBottom w:val="0"/>
      <w:divBdr>
        <w:top w:val="none" w:sz="0" w:space="0" w:color="auto"/>
        <w:left w:val="none" w:sz="0" w:space="0" w:color="auto"/>
        <w:bottom w:val="none" w:sz="0" w:space="0" w:color="auto"/>
        <w:right w:val="none" w:sz="0" w:space="0" w:color="auto"/>
      </w:divBdr>
    </w:div>
    <w:div w:id="1824542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ee" TargetMode="External"/><Relationship Id="rId4" Type="http://schemas.openxmlformats.org/officeDocument/2006/relationships/hyperlink" Target="http://www.ere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690</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Kerli Vainumaa</cp:lastModifiedBy>
  <cp:revision>11</cp:revision>
  <dcterms:created xsi:type="dcterms:W3CDTF">2021-05-11T10:08:00Z</dcterms:created>
  <dcterms:modified xsi:type="dcterms:W3CDTF">2021-05-11T12:13:00Z</dcterms:modified>
</cp:coreProperties>
</file>